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6474" w14:textId="77777777" w:rsidR="0086080E" w:rsidRDefault="00877641" w:rsidP="00877641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According to the National Registry of Exonerations, New York ranks as one of the worst states in the country in terms of wrongful convictions.</w:t>
      </w:r>
      <w:r w:rsidR="00D56577">
        <w:rPr>
          <w:sz w:val="24"/>
          <w:szCs w:val="24"/>
        </w:rPr>
        <w:t xml:space="preserve"> </w:t>
      </w:r>
      <w:r w:rsidR="00D56577" w:rsidRPr="00001C81">
        <w:rPr>
          <w:sz w:val="24"/>
          <w:szCs w:val="24"/>
        </w:rPr>
        <w:t>Last year, 18 men in New York</w:t>
      </w:r>
      <w:r w:rsidR="00CD4C7E">
        <w:rPr>
          <w:sz w:val="24"/>
          <w:szCs w:val="24"/>
        </w:rPr>
        <w:t xml:space="preserve"> </w:t>
      </w:r>
      <w:r w:rsidR="00D56577" w:rsidRPr="00001C81">
        <w:rPr>
          <w:sz w:val="24"/>
          <w:szCs w:val="24"/>
        </w:rPr>
        <w:t>were exonerated of crimes that they did not commit.</w:t>
      </w:r>
      <w:r w:rsidR="00D56577" w:rsidRPr="00001C81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</w:p>
    <w:p w14:paraId="329353BC" w14:textId="70CDF107" w:rsidR="00877641" w:rsidRDefault="0086080E" w:rsidP="00877641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 the Central Park Five? </w:t>
      </w:r>
      <w:r w:rsidR="00877641" w:rsidRPr="00001C81">
        <w:rPr>
          <w:sz w:val="24"/>
          <w:szCs w:val="24"/>
          <w:u w:val="single"/>
        </w:rPr>
        <w:t xml:space="preserve">The common thread of these cases is </w:t>
      </w:r>
      <w:r w:rsidR="00BC043D">
        <w:rPr>
          <w:sz w:val="24"/>
          <w:szCs w:val="24"/>
          <w:u w:val="single"/>
        </w:rPr>
        <w:t xml:space="preserve">that </w:t>
      </w:r>
      <w:r w:rsidR="00877641" w:rsidRPr="00001C81">
        <w:rPr>
          <w:sz w:val="24"/>
          <w:szCs w:val="24"/>
          <w:u w:val="single"/>
        </w:rPr>
        <w:t>police, prosecutors, and jury members ignored the Presumption of Innocence.</w:t>
      </w:r>
      <w:r w:rsidR="00877641" w:rsidRPr="00001C81">
        <w:rPr>
          <w:rStyle w:val="FootnoteReference"/>
          <w:sz w:val="24"/>
          <w:szCs w:val="24"/>
          <w:u w:val="single"/>
        </w:rPr>
        <w:footnoteReference w:id="2"/>
      </w:r>
    </w:p>
    <w:p w14:paraId="61710388" w14:textId="52659596" w:rsidR="00076DE1" w:rsidRDefault="00877641" w:rsidP="00BD31E9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Indeed, t</w:t>
      </w:r>
      <w:r w:rsidR="00076DE1">
        <w:rPr>
          <w:sz w:val="24"/>
          <w:szCs w:val="24"/>
        </w:rPr>
        <w:t>he Presumption of Innocence is a bedrock principle of the American criminal system. The presumption of innocence</w:t>
      </w:r>
      <w:r w:rsidR="00BD31E9">
        <w:rPr>
          <w:sz w:val="24"/>
          <w:szCs w:val="24"/>
        </w:rPr>
        <w:t xml:space="preserve"> </w:t>
      </w:r>
      <w:r w:rsidR="00076DE1">
        <w:rPr>
          <w:sz w:val="24"/>
          <w:szCs w:val="24"/>
        </w:rPr>
        <w:t>places the burden of proof on the government</w:t>
      </w:r>
      <w:r w:rsidR="00EA06A2">
        <w:rPr>
          <w:sz w:val="24"/>
          <w:szCs w:val="24"/>
        </w:rPr>
        <w:t xml:space="preserve"> </w:t>
      </w:r>
      <w:r w:rsidR="00076DE1">
        <w:rPr>
          <w:sz w:val="24"/>
          <w:szCs w:val="24"/>
        </w:rPr>
        <w:t>to reach a conviction</w:t>
      </w:r>
      <w:r w:rsidR="00375BE2">
        <w:rPr>
          <w:sz w:val="24"/>
          <w:szCs w:val="24"/>
        </w:rPr>
        <w:t>, and promotes fairness and due process</w:t>
      </w:r>
      <w:r w:rsidR="00076DE1">
        <w:rPr>
          <w:sz w:val="24"/>
          <w:szCs w:val="24"/>
        </w:rPr>
        <w:t>.</w:t>
      </w:r>
    </w:p>
    <w:p w14:paraId="6A75342D" w14:textId="5372D105" w:rsidR="00076DE1" w:rsidRPr="00FF2A1B" w:rsidRDefault="00212019" w:rsidP="00BD31E9">
      <w:pPr>
        <w:spacing w:before="120" w:line="240" w:lineRule="auto"/>
        <w:rPr>
          <w:b/>
          <w:bCs/>
          <w:sz w:val="28"/>
          <w:szCs w:val="28"/>
        </w:rPr>
      </w:pPr>
      <w:r w:rsidRPr="00FF2A1B">
        <w:rPr>
          <w:b/>
          <w:bCs/>
          <w:sz w:val="28"/>
          <w:szCs w:val="28"/>
        </w:rPr>
        <w:t>Wrongful Convictions of Sexual Assault</w:t>
      </w:r>
      <w:r w:rsidR="002971F5" w:rsidRPr="00FF2A1B">
        <w:rPr>
          <w:b/>
          <w:bCs/>
          <w:sz w:val="28"/>
          <w:szCs w:val="28"/>
        </w:rPr>
        <w:t xml:space="preserve"> and the ‘Willingness’ Standard</w:t>
      </w:r>
    </w:p>
    <w:p w14:paraId="2D5F8554" w14:textId="54E2181C" w:rsidR="00076DE1" w:rsidRDefault="002971F5" w:rsidP="006448DE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Most sexual assault cases revolve around the question of “consent.” </w:t>
      </w:r>
      <w:r w:rsidR="00076DE1">
        <w:rPr>
          <w:sz w:val="24"/>
          <w:szCs w:val="24"/>
        </w:rPr>
        <w:t xml:space="preserve">The accepted standard for consent to sex is the “willingness” standard, which </w:t>
      </w:r>
      <w:r w:rsidR="00774FBC">
        <w:rPr>
          <w:sz w:val="24"/>
          <w:szCs w:val="24"/>
        </w:rPr>
        <w:t>has been</w:t>
      </w:r>
      <w:r w:rsidR="00076DE1">
        <w:rPr>
          <w:sz w:val="24"/>
          <w:szCs w:val="24"/>
        </w:rPr>
        <w:t xml:space="preserve"> </w:t>
      </w:r>
      <w:r>
        <w:rPr>
          <w:sz w:val="24"/>
          <w:szCs w:val="24"/>
        </w:rPr>
        <w:t>endorsed</w:t>
      </w:r>
      <w:r w:rsidR="00076DE1">
        <w:rPr>
          <w:sz w:val="24"/>
          <w:szCs w:val="24"/>
        </w:rPr>
        <w:t xml:space="preserve"> by the American Law Institute</w:t>
      </w:r>
      <w:r w:rsidR="00076DE1" w:rsidRPr="0079033A">
        <w:rPr>
          <w:sz w:val="24"/>
          <w:szCs w:val="24"/>
        </w:rPr>
        <w:t>.</w:t>
      </w:r>
      <w:r w:rsidR="00076DE1">
        <w:rPr>
          <w:rStyle w:val="FootnoteReference"/>
          <w:sz w:val="24"/>
          <w:szCs w:val="24"/>
        </w:rPr>
        <w:footnoteReference w:id="3"/>
      </w:r>
    </w:p>
    <w:p w14:paraId="448ABF55" w14:textId="0FA9B72C" w:rsidR="00076DE1" w:rsidRDefault="00076DE1" w:rsidP="006448DE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willingness standard means a person can be willing to engage in sexual activities without specific words or actions. This standard is consistent with the </w:t>
      </w:r>
      <w:r w:rsidR="002971F5">
        <w:rPr>
          <w:sz w:val="24"/>
          <w:szCs w:val="24"/>
        </w:rPr>
        <w:t>P</w:t>
      </w:r>
      <w:r>
        <w:rPr>
          <w:sz w:val="24"/>
          <w:szCs w:val="24"/>
        </w:rPr>
        <w:t xml:space="preserve">resumption of </w:t>
      </w:r>
      <w:r w:rsidR="002971F5">
        <w:rPr>
          <w:sz w:val="24"/>
          <w:szCs w:val="24"/>
        </w:rPr>
        <w:t>I</w:t>
      </w:r>
      <w:r>
        <w:rPr>
          <w:sz w:val="24"/>
          <w:szCs w:val="24"/>
        </w:rPr>
        <w:t>nnocence.</w:t>
      </w:r>
    </w:p>
    <w:p w14:paraId="19DAF53A" w14:textId="5CDD5AAB" w:rsidR="00076DE1" w:rsidRPr="00FF2A1B" w:rsidRDefault="00076DE1" w:rsidP="00BD31E9">
      <w:pPr>
        <w:spacing w:before="120" w:line="240" w:lineRule="auto"/>
        <w:rPr>
          <w:b/>
          <w:bCs/>
          <w:sz w:val="28"/>
          <w:szCs w:val="28"/>
        </w:rPr>
      </w:pPr>
      <w:r w:rsidRPr="00FF2A1B">
        <w:rPr>
          <w:b/>
          <w:bCs/>
          <w:sz w:val="28"/>
          <w:szCs w:val="28"/>
        </w:rPr>
        <w:t xml:space="preserve">Activists </w:t>
      </w:r>
      <w:r w:rsidR="002139CA" w:rsidRPr="00FF2A1B">
        <w:rPr>
          <w:b/>
          <w:bCs/>
          <w:sz w:val="28"/>
          <w:szCs w:val="28"/>
        </w:rPr>
        <w:t>Want</w:t>
      </w:r>
      <w:r w:rsidR="00797009">
        <w:rPr>
          <w:b/>
          <w:bCs/>
          <w:sz w:val="28"/>
          <w:szCs w:val="28"/>
        </w:rPr>
        <w:t xml:space="preserve"> to </w:t>
      </w:r>
      <w:r w:rsidR="0024167B">
        <w:rPr>
          <w:b/>
          <w:bCs/>
          <w:sz w:val="28"/>
          <w:szCs w:val="28"/>
        </w:rPr>
        <w:t>Eliminate</w:t>
      </w:r>
      <w:r w:rsidR="00797009">
        <w:rPr>
          <w:b/>
          <w:bCs/>
          <w:sz w:val="28"/>
          <w:szCs w:val="28"/>
        </w:rPr>
        <w:t xml:space="preserve"> </w:t>
      </w:r>
      <w:r w:rsidR="0086080E">
        <w:rPr>
          <w:b/>
          <w:bCs/>
          <w:sz w:val="28"/>
          <w:szCs w:val="28"/>
        </w:rPr>
        <w:t>the Presumption of Innocence, and Impose</w:t>
      </w:r>
      <w:r w:rsidR="006448DE" w:rsidRPr="00FF2A1B">
        <w:rPr>
          <w:b/>
          <w:bCs/>
          <w:sz w:val="28"/>
          <w:szCs w:val="28"/>
        </w:rPr>
        <w:t xml:space="preserve"> a Presumption of </w:t>
      </w:r>
      <w:r w:rsidR="006448DE" w:rsidRPr="00001C81">
        <w:rPr>
          <w:b/>
          <w:bCs/>
          <w:i/>
          <w:iCs/>
          <w:sz w:val="28"/>
          <w:szCs w:val="28"/>
        </w:rPr>
        <w:t>Guilt</w:t>
      </w:r>
      <w:r w:rsidRPr="00FF2A1B">
        <w:rPr>
          <w:b/>
          <w:bCs/>
          <w:sz w:val="28"/>
          <w:szCs w:val="28"/>
        </w:rPr>
        <w:t xml:space="preserve"> </w:t>
      </w:r>
    </w:p>
    <w:p w14:paraId="7ED3CD74" w14:textId="7F2E7A39" w:rsidR="00AF610E" w:rsidRDefault="00AF610E" w:rsidP="00BD31E9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Unfortunately, a</w:t>
      </w:r>
      <w:r w:rsidR="00076DE1">
        <w:rPr>
          <w:sz w:val="24"/>
          <w:szCs w:val="24"/>
        </w:rPr>
        <w:t xml:space="preserve">ctivists are trying to eviscerate the </w:t>
      </w:r>
      <w:r>
        <w:rPr>
          <w:sz w:val="24"/>
          <w:szCs w:val="24"/>
        </w:rPr>
        <w:t>P</w:t>
      </w:r>
      <w:r w:rsidR="00076DE1">
        <w:rPr>
          <w:sz w:val="24"/>
          <w:szCs w:val="24"/>
        </w:rPr>
        <w:t xml:space="preserve">resumption of </w:t>
      </w:r>
      <w:r>
        <w:rPr>
          <w:sz w:val="24"/>
          <w:szCs w:val="24"/>
        </w:rPr>
        <w:t>I</w:t>
      </w:r>
      <w:r w:rsidR="00076DE1">
        <w:rPr>
          <w:sz w:val="24"/>
          <w:szCs w:val="24"/>
        </w:rPr>
        <w:t>nnocence by pushing a so-called “affirmative consent” approach</w:t>
      </w:r>
      <w:r w:rsidR="00774FBC">
        <w:rPr>
          <w:sz w:val="24"/>
          <w:szCs w:val="24"/>
        </w:rPr>
        <w:t>.</w:t>
      </w:r>
      <w:r w:rsidR="00001C81">
        <w:rPr>
          <w:sz w:val="24"/>
          <w:szCs w:val="24"/>
        </w:rPr>
        <w:t xml:space="preserve"> </w:t>
      </w:r>
      <w:r w:rsidR="00076DE1" w:rsidRPr="009668AA">
        <w:rPr>
          <w:sz w:val="24"/>
          <w:szCs w:val="24"/>
        </w:rPr>
        <w:t xml:space="preserve">S2115 </w:t>
      </w:r>
      <w:r>
        <w:rPr>
          <w:sz w:val="24"/>
          <w:szCs w:val="24"/>
        </w:rPr>
        <w:t>seeks to amend</w:t>
      </w:r>
      <w:r w:rsidR="00076DE1" w:rsidRPr="009668AA">
        <w:rPr>
          <w:sz w:val="24"/>
          <w:szCs w:val="24"/>
        </w:rPr>
        <w:t xml:space="preserve"> Subdivision 7 of section 130.00 of the penal law to read as follows:</w:t>
      </w:r>
      <w:r w:rsidRPr="00AF610E">
        <w:rPr>
          <w:rStyle w:val="FootnoteReference"/>
          <w:sz w:val="24"/>
          <w:szCs w:val="24"/>
        </w:rPr>
        <w:t xml:space="preserve"> </w:t>
      </w:r>
      <w:r>
        <w:rPr>
          <w:rStyle w:val="FootnoteReference"/>
          <w:sz w:val="24"/>
          <w:szCs w:val="24"/>
        </w:rPr>
        <w:footnoteReference w:id="4"/>
      </w:r>
    </w:p>
    <w:p w14:paraId="1751101B" w14:textId="215F5523" w:rsidR="00076DE1" w:rsidRPr="0086080E" w:rsidRDefault="00076DE1" w:rsidP="00AF610E">
      <w:pPr>
        <w:spacing w:before="120" w:line="240" w:lineRule="auto"/>
        <w:ind w:left="288"/>
        <w:rPr>
          <w:sz w:val="24"/>
          <w:szCs w:val="24"/>
        </w:rPr>
      </w:pPr>
      <w:r w:rsidRPr="0086080E">
        <w:rPr>
          <w:sz w:val="24"/>
          <w:szCs w:val="24"/>
        </w:rPr>
        <w:t xml:space="preserve">"Physically helpless" means that a person is unconscious or for any reason is physically unable to communicate affirmative consent to </w:t>
      </w:r>
      <w:r w:rsidRPr="0086080E">
        <w:rPr>
          <w:sz w:val="24"/>
          <w:szCs w:val="24"/>
        </w:rPr>
        <w:t xml:space="preserve">an act. </w:t>
      </w:r>
      <w:bookmarkStart w:id="0" w:name="_Hlk102897665"/>
      <w:r w:rsidRPr="0086080E">
        <w:rPr>
          <w:sz w:val="24"/>
          <w:szCs w:val="24"/>
        </w:rPr>
        <w:t xml:space="preserve">Such affirmative consent is a knowing, voluntary, and mutual decision among all participants to engage in sexual activity. Consent can be given by words or actions, </w:t>
      </w:r>
      <w:r w:rsidRPr="0086080E">
        <w:rPr>
          <w:sz w:val="24"/>
          <w:szCs w:val="24"/>
          <w:u w:val="single"/>
        </w:rPr>
        <w:t>as long as those words or actions create clear permission regarding willingness to engage in sexual activity."</w:t>
      </w:r>
      <w:bookmarkEnd w:id="0"/>
    </w:p>
    <w:p w14:paraId="07F9B849" w14:textId="121F76D4" w:rsidR="00AF610E" w:rsidRPr="00FF2A1B" w:rsidRDefault="00AF610E" w:rsidP="00BD31E9">
      <w:pPr>
        <w:spacing w:before="120" w:line="240" w:lineRule="auto"/>
        <w:rPr>
          <w:b/>
          <w:bCs/>
          <w:sz w:val="28"/>
          <w:szCs w:val="28"/>
        </w:rPr>
      </w:pPr>
      <w:r w:rsidRPr="00FF2A1B">
        <w:rPr>
          <w:b/>
          <w:bCs/>
          <w:sz w:val="28"/>
          <w:szCs w:val="28"/>
        </w:rPr>
        <w:t xml:space="preserve">Prove It </w:t>
      </w:r>
      <w:proofErr w:type="gramStart"/>
      <w:r w:rsidRPr="00FF2A1B">
        <w:rPr>
          <w:b/>
          <w:bCs/>
          <w:sz w:val="28"/>
          <w:szCs w:val="28"/>
        </w:rPr>
        <w:t>To</w:t>
      </w:r>
      <w:proofErr w:type="gramEnd"/>
      <w:r w:rsidRPr="00FF2A1B">
        <w:rPr>
          <w:b/>
          <w:bCs/>
          <w:sz w:val="28"/>
          <w:szCs w:val="28"/>
        </w:rPr>
        <w:t xml:space="preserve"> Yourself</w:t>
      </w:r>
    </w:p>
    <w:p w14:paraId="5878173C" w14:textId="5771B8DA" w:rsidR="000B2798" w:rsidRDefault="0086080E" w:rsidP="006448DE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797009">
        <w:rPr>
          <w:sz w:val="24"/>
          <w:szCs w:val="24"/>
        </w:rPr>
        <w:t>erjury or false allegations are the leading contributing factor to wrongful convictions, occurring in</w:t>
      </w:r>
      <w:r w:rsidR="000B2798">
        <w:rPr>
          <w:sz w:val="24"/>
          <w:szCs w:val="24"/>
        </w:rPr>
        <w:t xml:space="preserve"> </w:t>
      </w:r>
      <w:r w:rsidR="00626F12">
        <w:rPr>
          <w:sz w:val="24"/>
          <w:szCs w:val="24"/>
        </w:rPr>
        <w:t xml:space="preserve">61% of </w:t>
      </w:r>
      <w:r w:rsidR="00797009">
        <w:rPr>
          <w:sz w:val="24"/>
          <w:szCs w:val="24"/>
        </w:rPr>
        <w:t>such cases.</w:t>
      </w:r>
      <w:r w:rsidR="00797009">
        <w:rPr>
          <w:rStyle w:val="FootnoteReference"/>
          <w:sz w:val="24"/>
          <w:szCs w:val="24"/>
        </w:rPr>
        <w:footnoteReference w:id="5"/>
      </w:r>
    </w:p>
    <w:p w14:paraId="6EB16AF8" w14:textId="0507540C" w:rsidR="00076DE1" w:rsidRDefault="006448DE" w:rsidP="006448DE">
      <w:pPr>
        <w:spacing w:before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the Center for Prosecutor Integrity </w:t>
      </w:r>
      <w:r w:rsidRPr="00FB5025">
        <w:rPr>
          <w:sz w:val="24"/>
          <w:szCs w:val="24"/>
          <w:u w:val="single"/>
        </w:rPr>
        <w:t>invites you to try the proposed Affirmative Consent standard for yourself</w:t>
      </w:r>
      <w:r w:rsidR="00CB52AC" w:rsidRPr="00FB5025">
        <w:rPr>
          <w:sz w:val="24"/>
          <w:szCs w:val="24"/>
          <w:u w:val="single"/>
        </w:rPr>
        <w:t xml:space="preserve"> to see if it really works</w:t>
      </w:r>
      <w:r w:rsidR="006C41A5" w:rsidRPr="00FB5025">
        <w:rPr>
          <w:sz w:val="24"/>
          <w:szCs w:val="24"/>
          <w:u w:val="single"/>
        </w:rPr>
        <w:t>:</w:t>
      </w:r>
    </w:p>
    <w:p w14:paraId="130730C6" w14:textId="4286C35D" w:rsidR="006448DE" w:rsidRPr="006C41A5" w:rsidRDefault="006448DE" w:rsidP="006C41A5">
      <w:pPr>
        <w:spacing w:before="120" w:line="240" w:lineRule="auto"/>
        <w:ind w:left="288"/>
        <w:rPr>
          <w:i/>
          <w:iCs/>
          <w:sz w:val="24"/>
          <w:szCs w:val="24"/>
        </w:rPr>
      </w:pPr>
      <w:r w:rsidRPr="006C41A5">
        <w:rPr>
          <w:i/>
          <w:iCs/>
          <w:sz w:val="24"/>
          <w:szCs w:val="24"/>
        </w:rPr>
        <w:t>The next time you have intimate relations, try out the Affirmative Consent approach</w:t>
      </w:r>
      <w:r w:rsidR="00CB52AC" w:rsidRPr="006C41A5">
        <w:rPr>
          <w:i/>
          <w:iCs/>
          <w:sz w:val="24"/>
          <w:szCs w:val="24"/>
        </w:rPr>
        <w:t xml:space="preserve"> as</w:t>
      </w:r>
      <w:r w:rsidRPr="006C41A5">
        <w:rPr>
          <w:i/>
          <w:iCs/>
          <w:sz w:val="24"/>
          <w:szCs w:val="24"/>
        </w:rPr>
        <w:t xml:space="preserve"> </w:t>
      </w:r>
      <w:r w:rsidR="00BC043D">
        <w:rPr>
          <w:i/>
          <w:iCs/>
          <w:sz w:val="24"/>
          <w:szCs w:val="24"/>
        </w:rPr>
        <w:t>outlined</w:t>
      </w:r>
      <w:r w:rsidRPr="006C41A5">
        <w:rPr>
          <w:i/>
          <w:iCs/>
          <w:sz w:val="24"/>
          <w:szCs w:val="24"/>
        </w:rPr>
        <w:t xml:space="preserve"> by S2115. </w:t>
      </w:r>
    </w:p>
    <w:p w14:paraId="5BC82937" w14:textId="77777777" w:rsidR="00037722" w:rsidRDefault="002139CA" w:rsidP="00686A19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Tuesday, May </w:t>
      </w:r>
      <w:r w:rsidR="00686A19">
        <w:rPr>
          <w:sz w:val="24"/>
          <w:szCs w:val="24"/>
        </w:rPr>
        <w:t>17, send me a</w:t>
      </w:r>
      <w:r w:rsidR="00CD4C7E">
        <w:rPr>
          <w:sz w:val="24"/>
          <w:szCs w:val="24"/>
        </w:rPr>
        <w:t xml:space="preserve">n </w:t>
      </w:r>
      <w:r w:rsidR="00686A19">
        <w:rPr>
          <w:sz w:val="24"/>
          <w:szCs w:val="24"/>
        </w:rPr>
        <w:t>email to answer the</w:t>
      </w:r>
      <w:r w:rsidR="00356CC1">
        <w:rPr>
          <w:sz w:val="24"/>
          <w:szCs w:val="24"/>
        </w:rPr>
        <w:t xml:space="preserve"> yes-or-no</w:t>
      </w:r>
      <w:r w:rsidR="00686A19">
        <w:rPr>
          <w:sz w:val="24"/>
          <w:szCs w:val="24"/>
        </w:rPr>
        <w:t xml:space="preserve"> question</w:t>
      </w:r>
      <w:r w:rsidR="00CD4C7E">
        <w:rPr>
          <w:sz w:val="24"/>
          <w:szCs w:val="24"/>
        </w:rPr>
        <w:t>s</w:t>
      </w:r>
      <w:r w:rsidR="00686A19">
        <w:rPr>
          <w:sz w:val="24"/>
          <w:szCs w:val="24"/>
        </w:rPr>
        <w:t xml:space="preserve">, </w:t>
      </w:r>
    </w:p>
    <w:p w14:paraId="43756E5A" w14:textId="77777777" w:rsidR="00037722" w:rsidRDefault="00CD4C7E" w:rsidP="00037722">
      <w:pPr>
        <w:pStyle w:val="ListParagraph"/>
        <w:numPr>
          <w:ilvl w:val="0"/>
          <w:numId w:val="4"/>
        </w:numPr>
        <w:spacing w:before="120" w:line="240" w:lineRule="auto"/>
        <w:rPr>
          <w:sz w:val="24"/>
          <w:szCs w:val="24"/>
        </w:rPr>
      </w:pPr>
      <w:r w:rsidRPr="00037722">
        <w:rPr>
          <w:sz w:val="24"/>
          <w:szCs w:val="24"/>
        </w:rPr>
        <w:t xml:space="preserve">Did the Affirmative Consent method actually work? </w:t>
      </w:r>
    </w:p>
    <w:p w14:paraId="374801EF" w14:textId="0F18BF74" w:rsidR="00CD4C7E" w:rsidRPr="00037722" w:rsidRDefault="00037722" w:rsidP="00037722">
      <w:pPr>
        <w:pStyle w:val="ListParagraph"/>
        <w:numPr>
          <w:ilvl w:val="0"/>
          <w:numId w:val="4"/>
        </w:numPr>
        <w:spacing w:before="120" w:line="240" w:lineRule="auto"/>
        <w:rPr>
          <w:sz w:val="24"/>
          <w:szCs w:val="24"/>
        </w:rPr>
      </w:pPr>
      <w:r w:rsidRPr="00037722">
        <w:rPr>
          <w:sz w:val="24"/>
          <w:szCs w:val="24"/>
        </w:rPr>
        <w:t>W</w:t>
      </w:r>
      <w:r w:rsidR="00686A19" w:rsidRPr="00037722">
        <w:rPr>
          <w:sz w:val="24"/>
          <w:szCs w:val="24"/>
        </w:rPr>
        <w:t xml:space="preserve">ould Affirmative Consent protect you from a false allegation of sexual assault? </w:t>
      </w:r>
    </w:p>
    <w:p w14:paraId="27AAA2FD" w14:textId="7AEC9F23" w:rsidR="00025504" w:rsidRDefault="000F3F18" w:rsidP="00686A19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emails will be treated as </w:t>
      </w:r>
      <w:r w:rsidR="00FF2A1B">
        <w:rPr>
          <w:sz w:val="24"/>
          <w:szCs w:val="24"/>
        </w:rPr>
        <w:t xml:space="preserve">private and </w:t>
      </w:r>
      <w:r>
        <w:rPr>
          <w:sz w:val="24"/>
          <w:szCs w:val="24"/>
        </w:rPr>
        <w:t>confidential.</w:t>
      </w:r>
      <w:r w:rsidR="00774FBC">
        <w:rPr>
          <w:sz w:val="24"/>
          <w:szCs w:val="24"/>
        </w:rPr>
        <w:t xml:space="preserve"> </w:t>
      </w:r>
      <w:r w:rsidR="00025504">
        <w:rPr>
          <w:sz w:val="24"/>
          <w:szCs w:val="24"/>
        </w:rPr>
        <w:t>I look forward to hearing from you.</w:t>
      </w:r>
    </w:p>
    <w:p w14:paraId="62A1F554" w14:textId="77777777" w:rsidR="00F46759" w:rsidRDefault="00F46759" w:rsidP="00686A19">
      <w:pPr>
        <w:spacing w:before="120" w:line="240" w:lineRule="auto"/>
        <w:rPr>
          <w:sz w:val="24"/>
          <w:szCs w:val="24"/>
        </w:rPr>
      </w:pPr>
    </w:p>
    <w:p w14:paraId="57256327" w14:textId="77777777" w:rsidR="004D3AB6" w:rsidRPr="001D7E75" w:rsidRDefault="00645C28" w:rsidP="001D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5C28">
        <w:rPr>
          <w:rFonts w:ascii="Times New Roman" w:eastAsia="Times New Roman" w:hAnsi="Times New Roman" w:cs="Times New Roman"/>
          <w:noProof/>
          <w:color w:val="3B5998"/>
          <w:sz w:val="20"/>
          <w:szCs w:val="20"/>
        </w:rPr>
        <w:drawing>
          <wp:inline distT="0" distB="0" distL="0" distR="0" wp14:anchorId="0E0253CB" wp14:editId="04F3571A">
            <wp:extent cx="2857500" cy="619125"/>
            <wp:effectExtent l="0" t="0" r="0" b="0"/>
            <wp:docPr id="1" name="Picture 1" descr="CP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I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1" b="1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39C4A" w14:textId="77777777" w:rsidR="00B609BA" w:rsidRDefault="001C293C" w:rsidP="002E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u w:val="single"/>
          <w:lang w:val="fr-FR"/>
        </w:rPr>
      </w:pPr>
      <w:hyperlink r:id="rId9" w:history="1">
        <w:r w:rsidR="00167ADE" w:rsidRPr="00657520">
          <w:rPr>
            <w:rStyle w:val="Hyperlink"/>
            <w:rFonts w:ascii="Times New Roman" w:eastAsia="Times New Roman" w:hAnsi="Times New Roman" w:cs="Times New Roman"/>
            <w:i/>
            <w:lang w:val="fr-FR"/>
          </w:rPr>
          <w:t>www.prosecutorintegrity.org</w:t>
        </w:r>
      </w:hyperlink>
    </w:p>
    <w:p w14:paraId="6C7D4F3C" w14:textId="77777777" w:rsidR="00222A8E" w:rsidRPr="002E77B2" w:rsidRDefault="00222A8E" w:rsidP="002E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fr-FR"/>
        </w:rPr>
      </w:pPr>
    </w:p>
    <w:sectPr w:rsidR="00222A8E" w:rsidRPr="002E77B2" w:rsidSect="00C74692">
      <w:headerReference w:type="default" r:id="rId10"/>
      <w:headerReference w:type="first" r:id="rId11"/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B946" w14:textId="77777777" w:rsidR="001C293C" w:rsidRDefault="001C293C" w:rsidP="00645C28">
      <w:pPr>
        <w:spacing w:after="0" w:line="240" w:lineRule="auto"/>
      </w:pPr>
      <w:r>
        <w:separator/>
      </w:r>
    </w:p>
  </w:endnote>
  <w:endnote w:type="continuationSeparator" w:id="0">
    <w:p w14:paraId="29BD6C51" w14:textId="77777777" w:rsidR="001C293C" w:rsidRDefault="001C293C" w:rsidP="0064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A073" w14:textId="77777777" w:rsidR="001C293C" w:rsidRDefault="001C293C" w:rsidP="00645C28">
      <w:pPr>
        <w:spacing w:after="0" w:line="240" w:lineRule="auto"/>
      </w:pPr>
      <w:r>
        <w:separator/>
      </w:r>
    </w:p>
  </w:footnote>
  <w:footnote w:type="continuationSeparator" w:id="0">
    <w:p w14:paraId="6A0D9378" w14:textId="77777777" w:rsidR="001C293C" w:rsidRDefault="001C293C" w:rsidP="00645C28">
      <w:pPr>
        <w:spacing w:after="0" w:line="240" w:lineRule="auto"/>
      </w:pPr>
      <w:r>
        <w:continuationSeparator/>
      </w:r>
    </w:p>
  </w:footnote>
  <w:footnote w:id="1">
    <w:p w14:paraId="77AB29F4" w14:textId="77777777" w:rsidR="00D56577" w:rsidRDefault="00D56577" w:rsidP="00D56577">
      <w:pPr>
        <w:pStyle w:val="FootnoteText"/>
      </w:pPr>
      <w:r>
        <w:rPr>
          <w:rStyle w:val="FootnoteReference"/>
        </w:rPr>
        <w:footnoteRef/>
      </w:r>
      <w:hyperlink r:id="rId1" w:history="1">
        <w:r w:rsidRPr="00C939B8">
          <w:rPr>
            <w:rStyle w:val="Hyperlink"/>
          </w:rPr>
          <w:t>https://www.law.umich.edu/special/exoneration/Pages/about.aspx</w:t>
        </w:r>
      </w:hyperlink>
      <w:r>
        <w:t xml:space="preserve"> </w:t>
      </w:r>
    </w:p>
  </w:footnote>
  <w:footnote w:id="2">
    <w:p w14:paraId="774C03D3" w14:textId="77777777" w:rsidR="00877641" w:rsidRDefault="00877641" w:rsidP="00877641">
      <w:pPr>
        <w:pStyle w:val="FootnoteText"/>
      </w:pPr>
      <w:r>
        <w:rPr>
          <w:rStyle w:val="FootnoteReference"/>
        </w:rPr>
        <w:footnoteRef/>
      </w:r>
      <w:hyperlink r:id="rId2" w:history="1">
        <w:r w:rsidRPr="00C939B8">
          <w:rPr>
            <w:rStyle w:val="Hyperlink"/>
          </w:rPr>
          <w:t>https://scholarship.law.duke.edu/cgi/viewcontent.cgi?article=6537&amp;context=faculty_scholarship</w:t>
        </w:r>
      </w:hyperlink>
      <w:r>
        <w:t xml:space="preserve"> </w:t>
      </w:r>
    </w:p>
  </w:footnote>
  <w:footnote w:id="3">
    <w:p w14:paraId="05D6FFDB" w14:textId="77777777" w:rsidR="00076DE1" w:rsidRDefault="00076DE1" w:rsidP="00076D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939B8">
          <w:rPr>
            <w:rStyle w:val="Hyperlink"/>
          </w:rPr>
          <w:t>http://www.prosecutorintegrity.org/sa/ali/</w:t>
        </w:r>
      </w:hyperlink>
      <w:r>
        <w:t xml:space="preserve"> </w:t>
      </w:r>
    </w:p>
  </w:footnote>
  <w:footnote w:id="4">
    <w:p w14:paraId="5FCD6870" w14:textId="77777777" w:rsidR="00AF610E" w:rsidRDefault="00AF610E" w:rsidP="00AF61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C939B8">
          <w:rPr>
            <w:rStyle w:val="Hyperlink"/>
          </w:rPr>
          <w:t>https://www.nysenate.gov/legislation/bills/2021/S2115</w:t>
        </w:r>
      </w:hyperlink>
      <w:r>
        <w:t xml:space="preserve"> </w:t>
      </w:r>
    </w:p>
  </w:footnote>
  <w:footnote w:id="5">
    <w:p w14:paraId="070377DA" w14:textId="3F086740" w:rsidR="00797009" w:rsidRDefault="00797009">
      <w:pPr>
        <w:pStyle w:val="FootnoteText"/>
      </w:pPr>
      <w:r>
        <w:rPr>
          <w:rStyle w:val="FootnoteReference"/>
        </w:rPr>
        <w:footnoteRef/>
      </w:r>
      <w:hyperlink r:id="rId5" w:history="1">
        <w:r w:rsidRPr="008B6E23">
          <w:rPr>
            <w:rStyle w:val="Hyperlink"/>
          </w:rPr>
          <w:t>https://www.law.umich.edu/special/exoneration/Pages/ExonerationsContribFactorsByCrime.aspx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1522" w14:textId="1B32B321" w:rsidR="005B134D" w:rsidRPr="00C74692" w:rsidRDefault="005B134D" w:rsidP="00C74692">
    <w:pPr>
      <w:jc w:val="center"/>
      <w:rPr>
        <w:b/>
        <w:bCs/>
        <w:color w:val="FF0000"/>
        <w:sz w:val="48"/>
        <w:szCs w:val="48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8527" w14:textId="6FDAD857" w:rsidR="00C74692" w:rsidRPr="004755D9" w:rsidRDefault="004755D9" w:rsidP="004755D9">
    <w:pPr>
      <w:pStyle w:val="Header"/>
      <w:jc w:val="center"/>
      <w:rPr>
        <w:sz w:val="18"/>
        <w:szCs w:val="18"/>
      </w:rPr>
    </w:pPr>
    <w:r w:rsidRPr="004755D9">
      <w:rPr>
        <w:b/>
        <w:bCs/>
        <w:color w:val="FF0000"/>
        <w:sz w:val="48"/>
        <w:szCs w:val="48"/>
        <w:shd w:val="clear" w:color="auto" w:fill="FFFFFF"/>
      </w:rPr>
      <w:t xml:space="preserve">S2115: To </w:t>
    </w:r>
    <w:r w:rsidR="004873C2">
      <w:rPr>
        <w:b/>
        <w:bCs/>
        <w:color w:val="FF0000"/>
        <w:sz w:val="48"/>
        <w:szCs w:val="48"/>
        <w:shd w:val="clear" w:color="auto" w:fill="FFFFFF"/>
      </w:rPr>
      <w:t>End the Epidemic of Wrongful Convictions</w:t>
    </w:r>
    <w:r w:rsidRPr="004755D9">
      <w:rPr>
        <w:b/>
        <w:bCs/>
        <w:color w:val="FF0000"/>
        <w:sz w:val="48"/>
        <w:szCs w:val="48"/>
        <w:shd w:val="clear" w:color="auto" w:fill="FFFFFF"/>
      </w:rPr>
      <w:t xml:space="preserve">, Lawmakers Must </w:t>
    </w:r>
    <w:r w:rsidR="00AF610E">
      <w:rPr>
        <w:b/>
        <w:bCs/>
        <w:color w:val="FF0000"/>
        <w:sz w:val="48"/>
        <w:szCs w:val="48"/>
        <w:shd w:val="clear" w:color="auto" w:fill="FFFFFF"/>
      </w:rPr>
      <w:t>Reject</w:t>
    </w:r>
    <w:r w:rsidRPr="004755D9">
      <w:rPr>
        <w:b/>
        <w:bCs/>
        <w:color w:val="FF0000"/>
        <w:sz w:val="48"/>
        <w:szCs w:val="48"/>
        <w:shd w:val="clear" w:color="auto" w:fill="FFFFFF"/>
      </w:rPr>
      <w:t xml:space="preserve"> Affirmative Consent Bill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938"/>
    <w:multiLevelType w:val="hybridMultilevel"/>
    <w:tmpl w:val="5F047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33213"/>
    <w:multiLevelType w:val="hybridMultilevel"/>
    <w:tmpl w:val="882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003A"/>
    <w:multiLevelType w:val="hybridMultilevel"/>
    <w:tmpl w:val="E2EA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26036"/>
    <w:multiLevelType w:val="hybridMultilevel"/>
    <w:tmpl w:val="9164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40535">
    <w:abstractNumId w:val="2"/>
  </w:num>
  <w:num w:numId="2" w16cid:durableId="179048285">
    <w:abstractNumId w:val="3"/>
  </w:num>
  <w:num w:numId="3" w16cid:durableId="1680355126">
    <w:abstractNumId w:val="0"/>
  </w:num>
  <w:num w:numId="4" w16cid:durableId="152220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28"/>
    <w:rsid w:val="00001C81"/>
    <w:rsid w:val="00025504"/>
    <w:rsid w:val="00026AEF"/>
    <w:rsid w:val="00037722"/>
    <w:rsid w:val="00045595"/>
    <w:rsid w:val="00061EAC"/>
    <w:rsid w:val="00076DE1"/>
    <w:rsid w:val="00095FEE"/>
    <w:rsid w:val="000B2798"/>
    <w:rsid w:val="000F3F18"/>
    <w:rsid w:val="000F662C"/>
    <w:rsid w:val="00167ADE"/>
    <w:rsid w:val="00181E7B"/>
    <w:rsid w:val="001C293C"/>
    <w:rsid w:val="001D7E75"/>
    <w:rsid w:val="001F5DD1"/>
    <w:rsid w:val="00206CF6"/>
    <w:rsid w:val="00212019"/>
    <w:rsid w:val="002139CA"/>
    <w:rsid w:val="002146E7"/>
    <w:rsid w:val="00222A8E"/>
    <w:rsid w:val="0024167B"/>
    <w:rsid w:val="002971F5"/>
    <w:rsid w:val="002B533C"/>
    <w:rsid w:val="002E77B2"/>
    <w:rsid w:val="00356CC1"/>
    <w:rsid w:val="00375BE2"/>
    <w:rsid w:val="0038740A"/>
    <w:rsid w:val="004755D9"/>
    <w:rsid w:val="004873C2"/>
    <w:rsid w:val="004D3AB6"/>
    <w:rsid w:val="00541B06"/>
    <w:rsid w:val="0054468E"/>
    <w:rsid w:val="00571956"/>
    <w:rsid w:val="005B134D"/>
    <w:rsid w:val="005F2394"/>
    <w:rsid w:val="00626F12"/>
    <w:rsid w:val="006448DE"/>
    <w:rsid w:val="00645C28"/>
    <w:rsid w:val="00686650"/>
    <w:rsid w:val="00686A19"/>
    <w:rsid w:val="006C41A5"/>
    <w:rsid w:val="006E7989"/>
    <w:rsid w:val="007463BA"/>
    <w:rsid w:val="00774FBC"/>
    <w:rsid w:val="00797009"/>
    <w:rsid w:val="0086080E"/>
    <w:rsid w:val="00877641"/>
    <w:rsid w:val="008A3D21"/>
    <w:rsid w:val="00922F24"/>
    <w:rsid w:val="009260CA"/>
    <w:rsid w:val="0098300E"/>
    <w:rsid w:val="00A22816"/>
    <w:rsid w:val="00A46292"/>
    <w:rsid w:val="00A5788D"/>
    <w:rsid w:val="00AF610E"/>
    <w:rsid w:val="00BC043D"/>
    <w:rsid w:val="00BD31E9"/>
    <w:rsid w:val="00C74692"/>
    <w:rsid w:val="00CB52AC"/>
    <w:rsid w:val="00CD4C7E"/>
    <w:rsid w:val="00CF229B"/>
    <w:rsid w:val="00D56577"/>
    <w:rsid w:val="00D766E4"/>
    <w:rsid w:val="00D83B1F"/>
    <w:rsid w:val="00D9535B"/>
    <w:rsid w:val="00DA0A8F"/>
    <w:rsid w:val="00E76760"/>
    <w:rsid w:val="00EA06A2"/>
    <w:rsid w:val="00F042D0"/>
    <w:rsid w:val="00F46759"/>
    <w:rsid w:val="00F5150C"/>
    <w:rsid w:val="00F75CD1"/>
    <w:rsid w:val="00F832ED"/>
    <w:rsid w:val="00FB5025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D31CB"/>
  <w15:chartTrackingRefBased/>
  <w15:docId w15:val="{31F4B99C-1ABC-4180-B805-2B860D5C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4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45C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6AE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A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A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6A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1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34D"/>
  </w:style>
  <w:style w:type="paragraph" w:styleId="Footer">
    <w:name w:val="footer"/>
    <w:basedOn w:val="Normal"/>
    <w:link w:val="FooterChar"/>
    <w:uiPriority w:val="99"/>
    <w:unhideWhenUsed/>
    <w:rsid w:val="005B1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34D"/>
  </w:style>
  <w:style w:type="paragraph" w:styleId="BalloonText">
    <w:name w:val="Balloon Text"/>
    <w:basedOn w:val="Normal"/>
    <w:link w:val="BalloonTextChar"/>
    <w:uiPriority w:val="99"/>
    <w:semiHidden/>
    <w:unhideWhenUsed/>
    <w:rsid w:val="0016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7AD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F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171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011">
              <w:marLeft w:val="0"/>
              <w:marRight w:val="0"/>
              <w:marTop w:val="150"/>
              <w:marBottom w:val="240"/>
              <w:divBdr>
                <w:top w:val="single" w:sz="6" w:space="8" w:color="DBDBDB"/>
                <w:left w:val="none" w:sz="0" w:space="0" w:color="auto"/>
                <w:bottom w:val="single" w:sz="6" w:space="8" w:color="DBDBDB"/>
                <w:right w:val="none" w:sz="0" w:space="0" w:color="auto"/>
              </w:divBdr>
              <w:divsChild>
                <w:div w:id="9862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4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secutorintegrity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secutorintegrity.org/sa/ali/" TargetMode="External"/><Relationship Id="rId2" Type="http://schemas.openxmlformats.org/officeDocument/2006/relationships/hyperlink" Target="https://scholarship.law.duke.edu/cgi/viewcontent.cgi?article=6537&amp;context=faculty_scholarship" TargetMode="External"/><Relationship Id="rId1" Type="http://schemas.openxmlformats.org/officeDocument/2006/relationships/hyperlink" Target="https://www.law.umich.edu/special/exoneration/Pages/about.aspx" TargetMode="External"/><Relationship Id="rId5" Type="http://schemas.openxmlformats.org/officeDocument/2006/relationships/hyperlink" Target="https://www.law.umich.edu/special/exoneration/Pages/ExonerationsContribFactorsByCrime.aspx" TargetMode="External"/><Relationship Id="rId4" Type="http://schemas.openxmlformats.org/officeDocument/2006/relationships/hyperlink" Target="https://www.nysenate.gov/legislation/bills/2021/S2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476A-A625-401B-B71F-F4DC99AA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409</Words>
  <Characters>2156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Perry</dc:creator>
  <cp:keywords/>
  <dc:description/>
  <cp:lastModifiedBy>Edward Bartlett</cp:lastModifiedBy>
  <cp:revision>29</cp:revision>
  <cp:lastPrinted>2022-05-10T13:59:00Z</cp:lastPrinted>
  <dcterms:created xsi:type="dcterms:W3CDTF">2022-05-09T11:35:00Z</dcterms:created>
  <dcterms:modified xsi:type="dcterms:W3CDTF">2022-05-31T21:40:00Z</dcterms:modified>
</cp:coreProperties>
</file>