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BB3" w:rsidRPr="006E7BB3" w:rsidRDefault="006E7BB3" w:rsidP="006E7BB3">
      <w:pPr>
        <w:jc w:val="center"/>
        <w:rPr>
          <w:b/>
          <w:sz w:val="28"/>
          <w:szCs w:val="28"/>
        </w:rPr>
      </w:pPr>
      <w:r w:rsidRPr="006E7BB3">
        <w:rPr>
          <w:b/>
          <w:sz w:val="28"/>
          <w:szCs w:val="28"/>
        </w:rPr>
        <w:t xml:space="preserve">I-VAWA: </w:t>
      </w:r>
      <w:r w:rsidR="00F83BDB">
        <w:rPr>
          <w:b/>
          <w:sz w:val="28"/>
          <w:szCs w:val="28"/>
        </w:rPr>
        <w:t>C</w:t>
      </w:r>
      <w:r w:rsidR="006F6988">
        <w:rPr>
          <w:b/>
          <w:sz w:val="28"/>
          <w:szCs w:val="28"/>
        </w:rPr>
        <w:t>herry-P</w:t>
      </w:r>
      <w:r w:rsidR="00F83BDB">
        <w:rPr>
          <w:b/>
          <w:sz w:val="28"/>
          <w:szCs w:val="28"/>
        </w:rPr>
        <w:t>icking the Truth</w:t>
      </w:r>
      <w:r w:rsidRPr="006E7BB3">
        <w:rPr>
          <w:b/>
          <w:sz w:val="28"/>
          <w:szCs w:val="28"/>
        </w:rPr>
        <w:t xml:space="preserve"> to </w:t>
      </w:r>
      <w:r w:rsidR="00A87BF1">
        <w:rPr>
          <w:b/>
          <w:sz w:val="28"/>
          <w:szCs w:val="28"/>
        </w:rPr>
        <w:t>Promote</w:t>
      </w:r>
      <w:r w:rsidRPr="006E7BB3">
        <w:rPr>
          <w:b/>
          <w:sz w:val="28"/>
          <w:szCs w:val="28"/>
        </w:rPr>
        <w:t xml:space="preserve"> an Ideological Agenda</w:t>
      </w:r>
    </w:p>
    <w:p w:rsidR="00B1707E" w:rsidRPr="00E40112" w:rsidRDefault="00B1707E" w:rsidP="00E40112">
      <w:pPr>
        <w:sectPr w:rsidR="00B1707E" w:rsidRPr="00E40112" w:rsidSect="00E40112">
          <w:footerReference w:type="default" r:id="rId8"/>
          <w:endnotePr>
            <w:numFmt w:val="decimal"/>
          </w:endnotePr>
          <w:type w:val="continuous"/>
          <w:pgSz w:w="12240" w:h="15840"/>
          <w:pgMar w:top="1440" w:right="1440" w:bottom="1440" w:left="1440" w:header="720" w:footer="720" w:gutter="0"/>
          <w:cols w:space="720"/>
          <w:docGrid w:linePitch="360"/>
        </w:sectPr>
      </w:pPr>
      <w:bookmarkStart w:id="0" w:name="_GoBack"/>
      <w:bookmarkEnd w:id="0"/>
    </w:p>
    <w:tbl>
      <w:tblPr>
        <w:tblStyle w:val="TableGrid"/>
        <w:tblW w:w="9576" w:type="dxa"/>
        <w:tblInd w:w="-113" w:type="dxa"/>
        <w:tblLook w:val="04A0" w:firstRow="1" w:lastRow="0" w:firstColumn="1" w:lastColumn="0" w:noHBand="0" w:noVBand="1"/>
      </w:tblPr>
      <w:tblGrid>
        <w:gridCol w:w="648"/>
        <w:gridCol w:w="4140"/>
        <w:gridCol w:w="4788"/>
      </w:tblGrid>
      <w:tr w:rsidR="00E40112" w:rsidTr="00D7242B">
        <w:tc>
          <w:tcPr>
            <w:tcW w:w="648" w:type="dxa"/>
          </w:tcPr>
          <w:p w:rsidR="00E40112" w:rsidRDefault="00E40112" w:rsidP="00B1707E">
            <w:pPr>
              <w:pStyle w:val="lbexindentparagraph"/>
              <w:jc w:val="center"/>
              <w:rPr>
                <w:rFonts w:ascii="Times" w:hAnsi="Times" w:cs="Times"/>
                <w:color w:val="333333"/>
              </w:rPr>
            </w:pPr>
          </w:p>
        </w:tc>
        <w:tc>
          <w:tcPr>
            <w:tcW w:w="4140" w:type="dxa"/>
          </w:tcPr>
          <w:p w:rsidR="00E40112" w:rsidRPr="005317BF" w:rsidRDefault="00DB1E0E" w:rsidP="00D7242B">
            <w:pPr>
              <w:pStyle w:val="lbexindentparagraph"/>
              <w:jc w:val="center"/>
              <w:rPr>
                <w:rFonts w:ascii="Times" w:hAnsi="Times" w:cs="Times"/>
                <w:b/>
                <w:color w:val="333333"/>
              </w:rPr>
            </w:pPr>
            <w:r>
              <w:rPr>
                <w:rFonts w:ascii="Times" w:hAnsi="Times" w:cs="Times"/>
                <w:b/>
                <w:color w:val="333333"/>
              </w:rPr>
              <w:t xml:space="preserve">I-VAWA </w:t>
            </w:r>
            <w:r w:rsidR="00E40112" w:rsidRPr="005317BF">
              <w:rPr>
                <w:rFonts w:ascii="Times" w:hAnsi="Times" w:cs="Times"/>
                <w:b/>
                <w:color w:val="333333"/>
              </w:rPr>
              <w:t>Finding</w:t>
            </w:r>
          </w:p>
        </w:tc>
        <w:tc>
          <w:tcPr>
            <w:tcW w:w="4788" w:type="dxa"/>
          </w:tcPr>
          <w:p w:rsidR="00E40112" w:rsidRPr="005317BF" w:rsidRDefault="00E40112" w:rsidP="00D7242B">
            <w:pPr>
              <w:pStyle w:val="lbexindentparagraph"/>
              <w:jc w:val="center"/>
              <w:rPr>
                <w:rFonts w:ascii="Times" w:hAnsi="Times" w:cs="Times"/>
                <w:b/>
                <w:color w:val="333333"/>
              </w:rPr>
            </w:pPr>
            <w:r w:rsidRPr="005317BF">
              <w:rPr>
                <w:rFonts w:ascii="Times" w:hAnsi="Times" w:cs="Times"/>
                <w:b/>
                <w:color w:val="333333"/>
              </w:rPr>
              <w:t>Analysis</w:t>
            </w:r>
          </w:p>
        </w:tc>
      </w:tr>
      <w:tr w:rsidR="00E40112" w:rsidTr="00D7242B">
        <w:tc>
          <w:tcPr>
            <w:tcW w:w="648" w:type="dxa"/>
          </w:tcPr>
          <w:p w:rsidR="00E40112" w:rsidRDefault="00B1707E" w:rsidP="00B1707E">
            <w:pPr>
              <w:pStyle w:val="lbexindentparagraph"/>
              <w:jc w:val="center"/>
              <w:rPr>
                <w:rFonts w:ascii="Times" w:hAnsi="Times" w:cs="Times"/>
                <w:color w:val="333333"/>
              </w:rPr>
            </w:pPr>
            <w:r>
              <w:rPr>
                <w:rFonts w:ascii="Times" w:hAnsi="Times" w:cs="Times"/>
                <w:color w:val="333333"/>
              </w:rPr>
              <w:t>1</w:t>
            </w:r>
          </w:p>
        </w:tc>
        <w:tc>
          <w:tcPr>
            <w:tcW w:w="4140" w:type="dxa"/>
          </w:tcPr>
          <w:p w:rsidR="00E40112" w:rsidRPr="009B0828" w:rsidRDefault="00E40112" w:rsidP="00D7242B">
            <w:pPr>
              <w:pStyle w:val="lbexindentparagraph"/>
              <w:shd w:val="clear" w:color="auto" w:fill="FFFFFF"/>
              <w:rPr>
                <w:rFonts w:ascii="Times" w:hAnsi="Times" w:cs="Times"/>
                <w:color w:val="333333"/>
                <w:sz w:val="22"/>
                <w:szCs w:val="22"/>
              </w:rPr>
            </w:pPr>
            <w:r w:rsidRPr="009B0828">
              <w:rPr>
                <w:rFonts w:ascii="Times" w:hAnsi="Times" w:cs="Times"/>
                <w:color w:val="333333"/>
                <w:sz w:val="22"/>
                <w:szCs w:val="22"/>
              </w:rPr>
              <w:t>An estimated one out of every three women throughout the world will be beaten, coerced into sex, or otherwise abused in her lifetime.</w:t>
            </w:r>
          </w:p>
        </w:tc>
        <w:tc>
          <w:tcPr>
            <w:tcW w:w="4788" w:type="dxa"/>
          </w:tcPr>
          <w:p w:rsidR="00E40112" w:rsidRPr="009B0828" w:rsidRDefault="004D300F" w:rsidP="00D7242B">
            <w:pPr>
              <w:rPr>
                <w:rFonts w:ascii="Times New Roman" w:hAnsi="Times New Roman" w:cs="Times New Roman"/>
                <w:i/>
              </w:rPr>
            </w:pPr>
            <w:r>
              <w:rPr>
                <w:rFonts w:ascii="Times New Roman" w:hAnsi="Times New Roman" w:cs="Times New Roman"/>
                <w:i/>
              </w:rPr>
              <w:t>One-sided</w:t>
            </w:r>
            <w:r w:rsidR="00E40112" w:rsidRPr="009B0828">
              <w:rPr>
                <w:rFonts w:ascii="Times New Roman" w:hAnsi="Times New Roman" w:cs="Times New Roman"/>
                <w:i/>
              </w:rPr>
              <w:t xml:space="preserve"> and </w:t>
            </w:r>
            <w:r w:rsidR="008C0329">
              <w:rPr>
                <w:rFonts w:ascii="Times New Roman" w:hAnsi="Times New Roman" w:cs="Times New Roman"/>
                <w:i/>
              </w:rPr>
              <w:t>misleading</w:t>
            </w:r>
            <w:r w:rsidR="00E40112" w:rsidRPr="009B0828">
              <w:rPr>
                <w:rFonts w:ascii="Times New Roman" w:hAnsi="Times New Roman" w:cs="Times New Roman"/>
                <w:i/>
              </w:rPr>
              <w:t>.</w:t>
            </w:r>
          </w:p>
          <w:p w:rsidR="00B43A0C" w:rsidRDefault="00E40112" w:rsidP="00B43A0C">
            <w:pPr>
              <w:pStyle w:val="lbexindentparagraph"/>
              <w:rPr>
                <w:sz w:val="22"/>
                <w:szCs w:val="22"/>
              </w:rPr>
            </w:pPr>
            <w:r w:rsidRPr="009B0828">
              <w:rPr>
                <w:sz w:val="22"/>
                <w:szCs w:val="22"/>
              </w:rPr>
              <w:t xml:space="preserve">Across the globe, men and women are equally likely to </w:t>
            </w:r>
            <w:r w:rsidR="003936E0">
              <w:rPr>
                <w:sz w:val="22"/>
                <w:szCs w:val="22"/>
              </w:rPr>
              <w:t>be victims of</w:t>
            </w:r>
            <w:r w:rsidRPr="009B0828">
              <w:rPr>
                <w:sz w:val="22"/>
                <w:szCs w:val="22"/>
              </w:rPr>
              <w:t xml:space="preserve"> intimate partner aggression</w:t>
            </w:r>
            <w:r w:rsidR="00F72FF8">
              <w:rPr>
                <w:sz w:val="22"/>
                <w:szCs w:val="22"/>
              </w:rPr>
              <w:t>, whether assessed in terms of physical or psychological</w:t>
            </w:r>
            <w:r w:rsidR="008C0329">
              <w:rPr>
                <w:sz w:val="22"/>
                <w:szCs w:val="22"/>
              </w:rPr>
              <w:t xml:space="preserve"> abuse</w:t>
            </w:r>
            <w:r w:rsidRPr="009B0828">
              <w:rPr>
                <w:sz w:val="22"/>
                <w:szCs w:val="22"/>
              </w:rPr>
              <w:t>.</w:t>
            </w:r>
            <w:r w:rsidRPr="009B0828">
              <w:rPr>
                <w:rStyle w:val="EndnoteReference"/>
                <w:sz w:val="22"/>
                <w:szCs w:val="22"/>
              </w:rPr>
              <w:endnoteReference w:id="1"/>
            </w:r>
            <w:r w:rsidRPr="009B0828">
              <w:rPr>
                <w:sz w:val="22"/>
                <w:szCs w:val="22"/>
              </w:rPr>
              <w:t xml:space="preserve"> </w:t>
            </w:r>
          </w:p>
          <w:p w:rsidR="00337D75" w:rsidRPr="00337D75" w:rsidRDefault="00E40112" w:rsidP="00B43A0C">
            <w:pPr>
              <w:pStyle w:val="lbexindentparagraph"/>
              <w:rPr>
                <w:sz w:val="22"/>
                <w:szCs w:val="22"/>
              </w:rPr>
            </w:pPr>
            <w:r w:rsidRPr="009B0828">
              <w:rPr>
                <w:sz w:val="22"/>
                <w:szCs w:val="22"/>
              </w:rPr>
              <w:t>Most studies show lifetime incidence rates of partner aggression in the range of 10-25%, not one in three.</w:t>
            </w:r>
            <w:r w:rsidRPr="009B0828">
              <w:rPr>
                <w:rStyle w:val="EndnoteReference"/>
                <w:sz w:val="22"/>
                <w:szCs w:val="22"/>
              </w:rPr>
              <w:endnoteReference w:id="2"/>
            </w:r>
          </w:p>
        </w:tc>
      </w:tr>
      <w:tr w:rsidR="00E40112" w:rsidTr="00D7242B">
        <w:tc>
          <w:tcPr>
            <w:tcW w:w="648" w:type="dxa"/>
          </w:tcPr>
          <w:p w:rsidR="00E40112" w:rsidRDefault="00B1707E" w:rsidP="00B1707E">
            <w:pPr>
              <w:pStyle w:val="lbexindentparagraph"/>
              <w:jc w:val="center"/>
              <w:rPr>
                <w:rFonts w:ascii="Times" w:hAnsi="Times" w:cs="Times"/>
                <w:color w:val="333333"/>
              </w:rPr>
            </w:pPr>
            <w:r>
              <w:rPr>
                <w:rFonts w:ascii="Times" w:hAnsi="Times" w:cs="Times"/>
                <w:color w:val="333333"/>
              </w:rPr>
              <w:t>2</w:t>
            </w:r>
          </w:p>
        </w:tc>
        <w:tc>
          <w:tcPr>
            <w:tcW w:w="4140" w:type="dxa"/>
          </w:tcPr>
          <w:p w:rsidR="00E40112" w:rsidRPr="009B0828" w:rsidRDefault="00E40112" w:rsidP="00D7242B">
            <w:pPr>
              <w:pStyle w:val="lbexindentparagraph"/>
              <w:shd w:val="clear" w:color="auto" w:fill="FFFFFF"/>
              <w:rPr>
                <w:rFonts w:ascii="Times" w:hAnsi="Times" w:cs="Times"/>
                <w:color w:val="333333"/>
                <w:sz w:val="22"/>
                <w:szCs w:val="22"/>
              </w:rPr>
            </w:pPr>
            <w:r w:rsidRPr="009B0828">
              <w:rPr>
                <w:rFonts w:ascii="Times" w:hAnsi="Times" w:cs="Times"/>
                <w:color w:val="333333"/>
                <w:sz w:val="22"/>
                <w:szCs w:val="22"/>
              </w:rPr>
              <w:t>Up to 70 percent of women in some countries report experiencing gender-based violence at some point in their lives.</w:t>
            </w:r>
          </w:p>
        </w:tc>
        <w:tc>
          <w:tcPr>
            <w:tcW w:w="4788" w:type="dxa"/>
          </w:tcPr>
          <w:p w:rsidR="00E40112" w:rsidRPr="009B0828" w:rsidRDefault="008C0329" w:rsidP="00D7242B">
            <w:pPr>
              <w:rPr>
                <w:rFonts w:ascii="Times New Roman" w:hAnsi="Times New Roman" w:cs="Times New Roman"/>
                <w:i/>
              </w:rPr>
            </w:pPr>
            <w:r>
              <w:rPr>
                <w:rFonts w:ascii="Times New Roman" w:hAnsi="Times New Roman" w:cs="Times New Roman"/>
                <w:i/>
              </w:rPr>
              <w:t>Unverifiable</w:t>
            </w:r>
            <w:r w:rsidR="00E40112" w:rsidRPr="009B0828">
              <w:rPr>
                <w:rFonts w:ascii="Times New Roman" w:hAnsi="Times New Roman" w:cs="Times New Roman"/>
                <w:i/>
              </w:rPr>
              <w:t>.</w:t>
            </w:r>
          </w:p>
          <w:p w:rsidR="00E40112" w:rsidRPr="009B0828" w:rsidRDefault="00E40112" w:rsidP="00D7242B">
            <w:pPr>
              <w:rPr>
                <w:rFonts w:ascii="Times New Roman" w:hAnsi="Times New Roman" w:cs="Times New Roman"/>
                <w:i/>
              </w:rPr>
            </w:pPr>
          </w:p>
          <w:p w:rsidR="00E40112" w:rsidRPr="009B0828" w:rsidRDefault="00E40112" w:rsidP="00D7242B">
            <w:pPr>
              <w:rPr>
                <w:rFonts w:ascii="Times New Roman" w:hAnsi="Times New Roman" w:cs="Times New Roman"/>
              </w:rPr>
            </w:pPr>
            <w:r w:rsidRPr="009B0828">
              <w:rPr>
                <w:rFonts w:ascii="Times New Roman" w:hAnsi="Times New Roman" w:cs="Times New Roman"/>
              </w:rPr>
              <w:t>The “up to 70%” figure comes from two unverifiable sources:</w:t>
            </w:r>
          </w:p>
          <w:p w:rsidR="00E40112" w:rsidRPr="009B0828" w:rsidRDefault="00E40112" w:rsidP="00D7242B">
            <w:pPr>
              <w:rPr>
                <w:rFonts w:ascii="Times New Roman" w:hAnsi="Times New Roman" w:cs="Times New Roman"/>
              </w:rPr>
            </w:pPr>
            <w:r w:rsidRPr="009B0828">
              <w:rPr>
                <w:rFonts w:ascii="Times New Roman" w:hAnsi="Times New Roman" w:cs="Times New Roman"/>
              </w:rPr>
              <w:t>a. An unpublished survey of a self-selected population in Papua New Guinea in 1982.</w:t>
            </w:r>
            <w:r w:rsidRPr="009B0828">
              <w:rPr>
                <w:rStyle w:val="EndnoteReference"/>
                <w:rFonts w:ascii="Times New Roman" w:hAnsi="Times New Roman" w:cs="Times New Roman"/>
              </w:rPr>
              <w:endnoteReference w:id="3"/>
            </w:r>
          </w:p>
          <w:p w:rsidR="00E40112" w:rsidRPr="009B0828" w:rsidRDefault="00E40112" w:rsidP="00D7242B">
            <w:pPr>
              <w:rPr>
                <w:rFonts w:ascii="Times New Roman" w:hAnsi="Times New Roman" w:cs="Times New Roman"/>
              </w:rPr>
            </w:pPr>
            <w:r w:rsidRPr="009B0828">
              <w:rPr>
                <w:rFonts w:ascii="Times New Roman" w:hAnsi="Times New Roman" w:cs="Times New Roman"/>
              </w:rPr>
              <w:t>b. An unidentified and unpublished “Personal communication” from the Fundacion Internacional para el Desafio Economic Global regarding a study done in Nicaragua in 1997.</w:t>
            </w:r>
          </w:p>
        </w:tc>
      </w:tr>
      <w:tr w:rsidR="00E40112" w:rsidTr="00D7242B">
        <w:tc>
          <w:tcPr>
            <w:tcW w:w="648" w:type="dxa"/>
          </w:tcPr>
          <w:p w:rsidR="00E40112" w:rsidRDefault="00B1707E" w:rsidP="00B1707E">
            <w:pPr>
              <w:pStyle w:val="lbexindentparagraph"/>
              <w:jc w:val="center"/>
              <w:rPr>
                <w:rFonts w:ascii="Times" w:hAnsi="Times" w:cs="Times"/>
                <w:color w:val="333333"/>
              </w:rPr>
            </w:pPr>
            <w:r>
              <w:rPr>
                <w:rFonts w:ascii="Times" w:hAnsi="Times" w:cs="Times"/>
                <w:color w:val="333333"/>
              </w:rPr>
              <w:t>3</w:t>
            </w:r>
          </w:p>
        </w:tc>
        <w:tc>
          <w:tcPr>
            <w:tcW w:w="4140" w:type="dxa"/>
          </w:tcPr>
          <w:p w:rsidR="00E40112" w:rsidRPr="009B0828" w:rsidRDefault="00E40112" w:rsidP="00D7242B">
            <w:pPr>
              <w:pStyle w:val="lbexindentparagraph"/>
              <w:shd w:val="clear" w:color="auto" w:fill="FFFFFF"/>
              <w:rPr>
                <w:rFonts w:ascii="Times" w:hAnsi="Times" w:cs="Times"/>
                <w:color w:val="333333"/>
                <w:sz w:val="22"/>
                <w:szCs w:val="22"/>
              </w:rPr>
            </w:pPr>
            <w:r w:rsidRPr="009B0828">
              <w:rPr>
                <w:rFonts w:ascii="Times" w:hAnsi="Times" w:cs="Times"/>
                <w:color w:val="333333"/>
                <w:sz w:val="22"/>
                <w:szCs w:val="22"/>
              </w:rPr>
              <w:t>Intimate partner violence is the most prevalent form of violence against women, preventing them from playing more active roles in the social, economic, and political development of their communities.</w:t>
            </w:r>
          </w:p>
        </w:tc>
        <w:tc>
          <w:tcPr>
            <w:tcW w:w="4788" w:type="dxa"/>
          </w:tcPr>
          <w:p w:rsidR="00E40112" w:rsidRPr="009B0828" w:rsidRDefault="00D34E30" w:rsidP="00D7242B">
            <w:pPr>
              <w:rPr>
                <w:rFonts w:ascii="Times New Roman" w:hAnsi="Times New Roman" w:cs="Times New Roman"/>
                <w:i/>
              </w:rPr>
            </w:pPr>
            <w:r w:rsidRPr="009B0828">
              <w:rPr>
                <w:rFonts w:ascii="Times New Roman" w:hAnsi="Times New Roman" w:cs="Times New Roman"/>
                <w:i/>
              </w:rPr>
              <w:t>F</w:t>
            </w:r>
            <w:r w:rsidR="00E40112" w:rsidRPr="009B0828">
              <w:rPr>
                <w:rFonts w:ascii="Times New Roman" w:hAnsi="Times New Roman" w:cs="Times New Roman"/>
                <w:i/>
              </w:rPr>
              <w:t>alse.</w:t>
            </w:r>
          </w:p>
          <w:p w:rsidR="00E40112" w:rsidRPr="009B0828" w:rsidRDefault="00E40112" w:rsidP="00B066B9">
            <w:pPr>
              <w:pStyle w:val="lbexindentparagraph"/>
              <w:rPr>
                <w:color w:val="333333"/>
                <w:sz w:val="22"/>
                <w:szCs w:val="22"/>
              </w:rPr>
            </w:pPr>
            <w:r w:rsidRPr="009B0828">
              <w:rPr>
                <w:sz w:val="22"/>
                <w:szCs w:val="22"/>
              </w:rPr>
              <w:t xml:space="preserve">According to the World Health Organization, the leading </w:t>
            </w:r>
            <w:r w:rsidR="00B066B9">
              <w:rPr>
                <w:sz w:val="22"/>
                <w:szCs w:val="22"/>
              </w:rPr>
              <w:t>types</w:t>
            </w:r>
            <w:r w:rsidRPr="009B0828">
              <w:rPr>
                <w:sz w:val="22"/>
                <w:szCs w:val="22"/>
              </w:rPr>
              <w:t xml:space="preserve"> of violence-related deaths for women are suicide, homicide, and war-related injuries. Domestic violence does not appear on the list.</w:t>
            </w:r>
            <w:r w:rsidRPr="009B0828">
              <w:rPr>
                <w:rStyle w:val="EndnoteReference"/>
                <w:sz w:val="22"/>
                <w:szCs w:val="22"/>
              </w:rPr>
              <w:endnoteReference w:id="4"/>
            </w:r>
          </w:p>
        </w:tc>
      </w:tr>
      <w:tr w:rsidR="00E40112" w:rsidTr="00D7242B">
        <w:tc>
          <w:tcPr>
            <w:tcW w:w="648" w:type="dxa"/>
          </w:tcPr>
          <w:p w:rsidR="00E40112" w:rsidRDefault="00B1707E" w:rsidP="00B1707E">
            <w:pPr>
              <w:pStyle w:val="lbexindentparagraph"/>
              <w:jc w:val="center"/>
              <w:rPr>
                <w:rFonts w:ascii="Times" w:hAnsi="Times" w:cs="Times"/>
                <w:color w:val="333333"/>
              </w:rPr>
            </w:pPr>
            <w:r>
              <w:rPr>
                <w:rFonts w:ascii="Times" w:hAnsi="Times" w:cs="Times"/>
                <w:color w:val="333333"/>
              </w:rPr>
              <w:t>4</w:t>
            </w:r>
          </w:p>
        </w:tc>
        <w:tc>
          <w:tcPr>
            <w:tcW w:w="4140" w:type="dxa"/>
          </w:tcPr>
          <w:p w:rsidR="00E40112" w:rsidRPr="009B0828" w:rsidRDefault="00E40112" w:rsidP="00D7242B">
            <w:pPr>
              <w:pStyle w:val="lbexindentparagraph"/>
              <w:rPr>
                <w:rFonts w:ascii="Times" w:hAnsi="Times" w:cs="Times"/>
                <w:color w:val="333333"/>
                <w:sz w:val="22"/>
                <w:szCs w:val="22"/>
              </w:rPr>
            </w:pPr>
            <w:r w:rsidRPr="009B0828">
              <w:rPr>
                <w:rFonts w:ascii="Times" w:hAnsi="Times" w:cs="Times"/>
                <w:color w:val="333333"/>
                <w:sz w:val="22"/>
                <w:szCs w:val="22"/>
              </w:rPr>
              <w:t>Sexual violence among adolescents and pre-adolescents is alarmingly high. National surveys in Swaziland, Tanzania, Zimbabwe, Kenya, and Haiti have found that between 28 and 38 percent of girls and between 9 and 18 percent of boys report experiencing sexual violence before reaching 18 years of age.</w:t>
            </w:r>
          </w:p>
        </w:tc>
        <w:tc>
          <w:tcPr>
            <w:tcW w:w="4788" w:type="dxa"/>
          </w:tcPr>
          <w:p w:rsidR="00E40112" w:rsidRPr="009B0828" w:rsidRDefault="00E40112" w:rsidP="00D7242B">
            <w:pPr>
              <w:rPr>
                <w:rFonts w:ascii="Times New Roman" w:hAnsi="Times New Roman" w:cs="Times New Roman"/>
                <w:i/>
              </w:rPr>
            </w:pPr>
            <w:r w:rsidRPr="009B0828">
              <w:rPr>
                <w:rFonts w:ascii="Times New Roman" w:hAnsi="Times New Roman" w:cs="Times New Roman"/>
                <w:i/>
              </w:rPr>
              <w:t>True.</w:t>
            </w:r>
          </w:p>
          <w:p w:rsidR="00E40112" w:rsidRPr="009B0828" w:rsidRDefault="00B43A0C" w:rsidP="00B43A0C">
            <w:pPr>
              <w:pStyle w:val="lbexindentparagraph"/>
              <w:rPr>
                <w:color w:val="333333"/>
                <w:sz w:val="22"/>
                <w:szCs w:val="22"/>
              </w:rPr>
            </w:pPr>
            <w:r>
              <w:rPr>
                <w:color w:val="333333"/>
                <w:sz w:val="22"/>
                <w:szCs w:val="22"/>
              </w:rPr>
              <w:t>A separate study of sexual violence involving 19 sex-specific comparisons concluded,</w:t>
            </w:r>
            <w:r w:rsidRPr="00B43A0C">
              <w:rPr>
                <w:color w:val="333333"/>
                <w:sz w:val="22"/>
                <w:szCs w:val="22"/>
              </w:rPr>
              <w:t xml:space="preserve"> “Rates were found to be higher for female perpetration/male victimization in 7 comparisons (37%).”</w:t>
            </w:r>
            <w:r>
              <w:rPr>
                <w:rStyle w:val="EndnoteReference"/>
                <w:color w:val="333333"/>
                <w:sz w:val="22"/>
                <w:szCs w:val="22"/>
              </w:rPr>
              <w:endnoteReference w:id="5"/>
            </w:r>
          </w:p>
        </w:tc>
      </w:tr>
      <w:tr w:rsidR="00E40112" w:rsidTr="00D7242B">
        <w:tc>
          <w:tcPr>
            <w:tcW w:w="648" w:type="dxa"/>
          </w:tcPr>
          <w:p w:rsidR="00E40112" w:rsidRDefault="00B1707E" w:rsidP="00B1707E">
            <w:pPr>
              <w:pStyle w:val="lbexindentparagraph"/>
              <w:jc w:val="center"/>
              <w:rPr>
                <w:rFonts w:ascii="Times" w:hAnsi="Times" w:cs="Times"/>
                <w:color w:val="333333"/>
              </w:rPr>
            </w:pPr>
            <w:r>
              <w:rPr>
                <w:rFonts w:ascii="Times" w:hAnsi="Times" w:cs="Times"/>
                <w:color w:val="333333"/>
              </w:rPr>
              <w:t>5</w:t>
            </w:r>
          </w:p>
        </w:tc>
        <w:tc>
          <w:tcPr>
            <w:tcW w:w="4140" w:type="dxa"/>
          </w:tcPr>
          <w:p w:rsidR="00E40112" w:rsidRPr="009B0828" w:rsidRDefault="00E40112" w:rsidP="00D7242B">
            <w:pPr>
              <w:pStyle w:val="lbexindentparagraph"/>
              <w:rPr>
                <w:rFonts w:ascii="Times" w:hAnsi="Times" w:cs="Times"/>
                <w:color w:val="333333"/>
                <w:sz w:val="22"/>
                <w:szCs w:val="22"/>
              </w:rPr>
            </w:pPr>
            <w:r w:rsidRPr="009B0828">
              <w:rPr>
                <w:rFonts w:ascii="Times" w:hAnsi="Times" w:cs="Times"/>
                <w:color w:val="333333"/>
                <w:sz w:val="22"/>
                <w:szCs w:val="22"/>
              </w:rPr>
              <w:t>Adult male respondents in six countries who had experienced violence as children were significantly more likely to report perpetrating intimate partner violence</w:t>
            </w:r>
            <w:r w:rsidR="004D300F">
              <w:rPr>
                <w:rFonts w:ascii="Times" w:hAnsi="Times" w:cs="Times"/>
                <w:color w:val="333333"/>
                <w:sz w:val="22"/>
                <w:szCs w:val="22"/>
              </w:rPr>
              <w:t xml:space="preserve"> themselves according to </w:t>
            </w:r>
            <w:r w:rsidRPr="009B0828">
              <w:rPr>
                <w:rFonts w:ascii="Times" w:hAnsi="Times" w:cs="Times"/>
                <w:color w:val="333333"/>
                <w:sz w:val="22"/>
                <w:szCs w:val="22"/>
              </w:rPr>
              <w:t>the International Men and Gender Equality Survey dataset.</w:t>
            </w:r>
          </w:p>
        </w:tc>
        <w:tc>
          <w:tcPr>
            <w:tcW w:w="4788" w:type="dxa"/>
          </w:tcPr>
          <w:p w:rsidR="00E40112" w:rsidRPr="009B0828" w:rsidRDefault="00B066B9" w:rsidP="00D7242B">
            <w:pPr>
              <w:rPr>
                <w:rFonts w:ascii="Times New Roman" w:hAnsi="Times New Roman" w:cs="Times New Roman"/>
                <w:i/>
              </w:rPr>
            </w:pPr>
            <w:r>
              <w:rPr>
                <w:rFonts w:ascii="Times New Roman" w:hAnsi="Times New Roman" w:cs="Times New Roman"/>
                <w:i/>
              </w:rPr>
              <w:t xml:space="preserve">One-sided </w:t>
            </w:r>
            <w:r w:rsidR="00E40112" w:rsidRPr="009B0828">
              <w:rPr>
                <w:rFonts w:ascii="Times New Roman" w:hAnsi="Times New Roman" w:cs="Times New Roman"/>
                <w:i/>
              </w:rPr>
              <w:t>and misleading.</w:t>
            </w:r>
          </w:p>
          <w:p w:rsidR="00E40112" w:rsidRPr="009B0828" w:rsidRDefault="00E40112" w:rsidP="00D7242B">
            <w:pPr>
              <w:pStyle w:val="lbexindentparagraph"/>
              <w:rPr>
                <w:color w:val="333333"/>
                <w:sz w:val="22"/>
                <w:szCs w:val="22"/>
              </w:rPr>
            </w:pPr>
            <w:r w:rsidRPr="009B0828">
              <w:rPr>
                <w:sz w:val="22"/>
                <w:szCs w:val="22"/>
              </w:rPr>
              <w:t>For both men and women, research shows that experiencing violence as a child is associated with higher rates of adult abuse perpetration.</w:t>
            </w:r>
            <w:r w:rsidRPr="009B0828">
              <w:rPr>
                <w:rStyle w:val="EndnoteReference"/>
                <w:sz w:val="22"/>
                <w:szCs w:val="22"/>
              </w:rPr>
              <w:endnoteReference w:id="6"/>
            </w:r>
            <w:r w:rsidRPr="009B0828">
              <w:rPr>
                <w:sz w:val="22"/>
                <w:szCs w:val="22"/>
                <w:vertAlign w:val="superscript"/>
              </w:rPr>
              <w:t xml:space="preserve"> ,</w:t>
            </w:r>
            <w:r w:rsidRPr="009B0828">
              <w:rPr>
                <w:rStyle w:val="EndnoteReference"/>
                <w:sz w:val="22"/>
                <w:szCs w:val="22"/>
              </w:rPr>
              <w:endnoteReference w:id="7"/>
            </w:r>
          </w:p>
        </w:tc>
      </w:tr>
      <w:tr w:rsidR="00E40112" w:rsidTr="00D7242B">
        <w:tc>
          <w:tcPr>
            <w:tcW w:w="648" w:type="dxa"/>
          </w:tcPr>
          <w:p w:rsidR="00E40112" w:rsidRDefault="00B1707E" w:rsidP="00B1707E">
            <w:pPr>
              <w:pStyle w:val="lbexindentparagraph"/>
              <w:jc w:val="center"/>
              <w:rPr>
                <w:rFonts w:ascii="Times" w:hAnsi="Times" w:cs="Times"/>
                <w:color w:val="333333"/>
              </w:rPr>
            </w:pPr>
            <w:r>
              <w:rPr>
                <w:rFonts w:ascii="Times" w:hAnsi="Times" w:cs="Times"/>
                <w:color w:val="333333"/>
              </w:rPr>
              <w:t>6</w:t>
            </w:r>
          </w:p>
        </w:tc>
        <w:tc>
          <w:tcPr>
            <w:tcW w:w="4140" w:type="dxa"/>
          </w:tcPr>
          <w:p w:rsidR="00E40112" w:rsidRPr="009B0828" w:rsidRDefault="00E40112" w:rsidP="00D7242B">
            <w:pPr>
              <w:pStyle w:val="lbexindentparagraph"/>
              <w:rPr>
                <w:rFonts w:ascii="Times" w:hAnsi="Times" w:cs="Times"/>
                <w:color w:val="333333"/>
                <w:sz w:val="22"/>
                <w:szCs w:val="22"/>
              </w:rPr>
            </w:pPr>
            <w:r w:rsidRPr="009B0828">
              <w:rPr>
                <w:rFonts w:ascii="Times" w:hAnsi="Times" w:cs="Times"/>
                <w:color w:val="333333"/>
                <w:sz w:val="22"/>
                <w:szCs w:val="22"/>
              </w:rPr>
              <w:t xml:space="preserve">Gender-based violence harms economies and the workers that fuel them. Despite under-reporting, striking statistics document prevalent forms of gender-based violence globally that affect the world of work. Worldwide, women are </w:t>
            </w:r>
            <w:r w:rsidRPr="009B0828">
              <w:rPr>
                <w:rFonts w:ascii="Times" w:hAnsi="Times" w:cs="Times"/>
                <w:color w:val="333333"/>
                <w:sz w:val="22"/>
                <w:szCs w:val="22"/>
              </w:rPr>
              <w:lastRenderedPageBreak/>
              <w:t>concentrated in low-wage, insecure jobs in workplaces where they lack bargaining power, protections against gender-based violence, safe and confidential reporting systems, recourse to justice, and access to legal, medical, and psychosocial services.</w:t>
            </w:r>
          </w:p>
        </w:tc>
        <w:tc>
          <w:tcPr>
            <w:tcW w:w="4788" w:type="dxa"/>
          </w:tcPr>
          <w:p w:rsidR="00E40112" w:rsidRPr="009B0828" w:rsidRDefault="00662E17" w:rsidP="00D7242B">
            <w:pPr>
              <w:pStyle w:val="lbexindentparagraph"/>
              <w:rPr>
                <w:i/>
                <w:color w:val="333333"/>
                <w:sz w:val="22"/>
                <w:szCs w:val="22"/>
              </w:rPr>
            </w:pPr>
            <w:r>
              <w:rPr>
                <w:i/>
                <w:color w:val="333333"/>
                <w:sz w:val="22"/>
                <w:szCs w:val="22"/>
              </w:rPr>
              <w:lastRenderedPageBreak/>
              <w:t>I</w:t>
            </w:r>
            <w:r w:rsidR="00E40112" w:rsidRPr="009B0828">
              <w:rPr>
                <w:i/>
                <w:color w:val="333333"/>
                <w:sz w:val="22"/>
                <w:szCs w:val="22"/>
              </w:rPr>
              <w:t>deological</w:t>
            </w:r>
            <w:r w:rsidR="004D300F">
              <w:rPr>
                <w:i/>
                <w:color w:val="333333"/>
                <w:sz w:val="22"/>
                <w:szCs w:val="22"/>
              </w:rPr>
              <w:t>.</w:t>
            </w:r>
          </w:p>
          <w:p w:rsidR="00E40112" w:rsidRPr="009B0828" w:rsidRDefault="00E40112" w:rsidP="00776D32">
            <w:pPr>
              <w:pStyle w:val="lbexindentparagraph"/>
              <w:rPr>
                <w:i/>
                <w:color w:val="333333"/>
                <w:sz w:val="22"/>
                <w:szCs w:val="22"/>
              </w:rPr>
            </w:pPr>
            <w:r w:rsidRPr="009B0828">
              <w:rPr>
                <w:color w:val="333333"/>
                <w:sz w:val="22"/>
                <w:szCs w:val="22"/>
              </w:rPr>
              <w:t xml:space="preserve">Finding consists of sweeping claims that are </w:t>
            </w:r>
            <w:r w:rsidR="00776D32" w:rsidRPr="009B0828">
              <w:rPr>
                <w:color w:val="333333"/>
                <w:sz w:val="22"/>
                <w:szCs w:val="22"/>
              </w:rPr>
              <w:t>based</w:t>
            </w:r>
            <w:r w:rsidRPr="009B0828">
              <w:rPr>
                <w:color w:val="333333"/>
                <w:sz w:val="22"/>
                <w:szCs w:val="22"/>
              </w:rPr>
              <w:t xml:space="preserve"> on gender ideology</w:t>
            </w:r>
            <w:r w:rsidR="00A003DD">
              <w:rPr>
                <w:color w:val="333333"/>
                <w:sz w:val="22"/>
                <w:szCs w:val="22"/>
              </w:rPr>
              <w:t>, not verifiable science, e.g., “</w:t>
            </w:r>
            <w:r w:rsidR="00A003DD" w:rsidRPr="009B0828">
              <w:rPr>
                <w:rFonts w:ascii="Times" w:hAnsi="Times" w:cs="Times"/>
                <w:color w:val="333333"/>
                <w:sz w:val="22"/>
                <w:szCs w:val="22"/>
              </w:rPr>
              <w:t xml:space="preserve">Worldwide, women are concentrated in low-wage, insecure jobs in workplaces where they lack </w:t>
            </w:r>
            <w:r w:rsidR="00A003DD" w:rsidRPr="009B0828">
              <w:rPr>
                <w:rFonts w:ascii="Times" w:hAnsi="Times" w:cs="Times"/>
                <w:color w:val="333333"/>
                <w:sz w:val="22"/>
                <w:szCs w:val="22"/>
              </w:rPr>
              <w:lastRenderedPageBreak/>
              <w:t>bargaining power, protections against gender-based violence, safe and confidential reporting systems, recourse to justice, and access to legal, medical, and psychosocial services.</w:t>
            </w:r>
            <w:r w:rsidR="00A003DD">
              <w:rPr>
                <w:rFonts w:ascii="Times" w:hAnsi="Times" w:cs="Times"/>
                <w:color w:val="333333"/>
                <w:sz w:val="22"/>
                <w:szCs w:val="22"/>
              </w:rPr>
              <w:t>”</w:t>
            </w:r>
          </w:p>
        </w:tc>
      </w:tr>
      <w:tr w:rsidR="00E40112" w:rsidTr="00D7242B">
        <w:tc>
          <w:tcPr>
            <w:tcW w:w="648" w:type="dxa"/>
          </w:tcPr>
          <w:p w:rsidR="00E40112" w:rsidRDefault="00B1707E" w:rsidP="00B1707E">
            <w:pPr>
              <w:pStyle w:val="lbexindentparagraph"/>
              <w:jc w:val="center"/>
              <w:rPr>
                <w:rFonts w:ascii="Times" w:hAnsi="Times" w:cs="Times"/>
                <w:color w:val="333333"/>
              </w:rPr>
            </w:pPr>
            <w:r>
              <w:rPr>
                <w:rFonts w:ascii="Times" w:hAnsi="Times" w:cs="Times"/>
                <w:color w:val="333333"/>
              </w:rPr>
              <w:lastRenderedPageBreak/>
              <w:t>7</w:t>
            </w:r>
          </w:p>
        </w:tc>
        <w:tc>
          <w:tcPr>
            <w:tcW w:w="4140" w:type="dxa"/>
          </w:tcPr>
          <w:p w:rsidR="00E40112" w:rsidRPr="009B0828" w:rsidRDefault="00E40112" w:rsidP="00D7242B">
            <w:pPr>
              <w:pStyle w:val="lbexindentparagraph"/>
              <w:rPr>
                <w:rFonts w:ascii="Times" w:hAnsi="Times" w:cs="Times"/>
                <w:color w:val="333333"/>
                <w:sz w:val="22"/>
                <w:szCs w:val="22"/>
              </w:rPr>
            </w:pPr>
            <w:r w:rsidRPr="009B0828">
              <w:rPr>
                <w:rFonts w:ascii="Times" w:hAnsi="Times" w:cs="Times"/>
                <w:color w:val="333333"/>
                <w:sz w:val="22"/>
                <w:szCs w:val="22"/>
              </w:rPr>
              <w:t>Women living in poverty are particularly vulnerable to gender-based violence. Lack of economic opportunities often compel women to use desperate and dangerous means to provide for themselves and their families, risking significant exposure to sexual exploitation and abuse. These women often cannot afford critical social and medical services.</w:t>
            </w:r>
          </w:p>
        </w:tc>
        <w:tc>
          <w:tcPr>
            <w:tcW w:w="4788" w:type="dxa"/>
          </w:tcPr>
          <w:p w:rsidR="00E40112" w:rsidRPr="009B0828" w:rsidRDefault="00E40112" w:rsidP="00D7242B">
            <w:pPr>
              <w:pStyle w:val="lbexindentparagraph"/>
              <w:rPr>
                <w:i/>
                <w:color w:val="333333"/>
                <w:sz w:val="22"/>
                <w:szCs w:val="22"/>
              </w:rPr>
            </w:pPr>
            <w:r w:rsidRPr="009B0828">
              <w:rPr>
                <w:i/>
                <w:color w:val="333333"/>
                <w:sz w:val="22"/>
                <w:szCs w:val="22"/>
              </w:rPr>
              <w:t>One-sided</w:t>
            </w:r>
            <w:r w:rsidR="00AC7BB8">
              <w:rPr>
                <w:i/>
                <w:color w:val="333333"/>
                <w:sz w:val="22"/>
                <w:szCs w:val="22"/>
              </w:rPr>
              <w:t>, misleading,</w:t>
            </w:r>
            <w:r w:rsidRPr="009B0828">
              <w:rPr>
                <w:i/>
                <w:color w:val="333333"/>
                <w:sz w:val="22"/>
                <w:szCs w:val="22"/>
              </w:rPr>
              <w:t xml:space="preserve"> and ideological.</w:t>
            </w:r>
          </w:p>
          <w:p w:rsidR="00E40112" w:rsidRPr="009B0828" w:rsidRDefault="00E40112" w:rsidP="00D7242B">
            <w:pPr>
              <w:pStyle w:val="lbexindentparagraph"/>
              <w:rPr>
                <w:color w:val="333333"/>
                <w:sz w:val="22"/>
                <w:szCs w:val="22"/>
              </w:rPr>
            </w:pPr>
            <w:r w:rsidRPr="009B0828">
              <w:rPr>
                <w:color w:val="333333"/>
                <w:sz w:val="22"/>
                <w:szCs w:val="22"/>
              </w:rPr>
              <w:t>Living in poverty is associated with high</w:t>
            </w:r>
            <w:r w:rsidR="00A003DD">
              <w:rPr>
                <w:color w:val="333333"/>
                <w:sz w:val="22"/>
                <w:szCs w:val="22"/>
              </w:rPr>
              <w:t>er</w:t>
            </w:r>
            <w:r w:rsidRPr="009B0828">
              <w:rPr>
                <w:color w:val="333333"/>
                <w:sz w:val="22"/>
                <w:szCs w:val="22"/>
              </w:rPr>
              <w:t xml:space="preserve"> rates of domestic violence, for both men and women.</w:t>
            </w:r>
          </w:p>
          <w:p w:rsidR="00E40112" w:rsidRPr="009B0828" w:rsidRDefault="00E40112" w:rsidP="004D300F">
            <w:pPr>
              <w:pStyle w:val="lbexindentparagraph"/>
              <w:rPr>
                <w:color w:val="333333"/>
                <w:sz w:val="22"/>
                <w:szCs w:val="22"/>
              </w:rPr>
            </w:pPr>
            <w:r w:rsidRPr="009B0828">
              <w:rPr>
                <w:color w:val="333333"/>
                <w:sz w:val="22"/>
                <w:szCs w:val="22"/>
              </w:rPr>
              <w:t xml:space="preserve">Finding </w:t>
            </w:r>
            <w:r w:rsidR="004D300F">
              <w:rPr>
                <w:color w:val="333333"/>
                <w:sz w:val="22"/>
                <w:szCs w:val="22"/>
              </w:rPr>
              <w:t>consists of</w:t>
            </w:r>
            <w:r w:rsidRPr="009B0828">
              <w:rPr>
                <w:color w:val="333333"/>
                <w:sz w:val="22"/>
                <w:szCs w:val="22"/>
              </w:rPr>
              <w:t xml:space="preserve"> </w:t>
            </w:r>
            <w:r w:rsidR="00D34E30" w:rsidRPr="009B0828">
              <w:rPr>
                <w:color w:val="333333"/>
                <w:sz w:val="22"/>
                <w:szCs w:val="22"/>
              </w:rPr>
              <w:t xml:space="preserve">an </w:t>
            </w:r>
            <w:r w:rsidRPr="009B0828">
              <w:rPr>
                <w:color w:val="333333"/>
                <w:sz w:val="22"/>
                <w:szCs w:val="22"/>
              </w:rPr>
              <w:t>unverifiable</w:t>
            </w:r>
            <w:r w:rsidR="004D300F">
              <w:rPr>
                <w:color w:val="333333"/>
                <w:sz w:val="22"/>
                <w:szCs w:val="22"/>
              </w:rPr>
              <w:t xml:space="preserve"> claim using emotion-laden language</w:t>
            </w:r>
            <w:r w:rsidRPr="009B0828">
              <w:rPr>
                <w:color w:val="333333"/>
                <w:sz w:val="22"/>
                <w:szCs w:val="22"/>
              </w:rPr>
              <w:t>: “</w:t>
            </w:r>
            <w:r w:rsidRPr="009B0828">
              <w:rPr>
                <w:rFonts w:ascii="Times" w:hAnsi="Times" w:cs="Times"/>
                <w:color w:val="333333"/>
                <w:sz w:val="22"/>
                <w:szCs w:val="22"/>
              </w:rPr>
              <w:t>Lack of economic opportunities often compel women to use desperate and dangerous means to provide for themselves and their families, risking significant exposure to sexual exploitation and abuse.”</w:t>
            </w:r>
          </w:p>
        </w:tc>
      </w:tr>
      <w:tr w:rsidR="00E40112" w:rsidTr="00D7242B">
        <w:tc>
          <w:tcPr>
            <w:tcW w:w="648" w:type="dxa"/>
          </w:tcPr>
          <w:p w:rsidR="00E40112" w:rsidRDefault="00B1707E" w:rsidP="00B1707E">
            <w:pPr>
              <w:pStyle w:val="lbexindentparagraph"/>
              <w:jc w:val="center"/>
              <w:rPr>
                <w:rFonts w:ascii="Times" w:hAnsi="Times" w:cs="Times"/>
                <w:color w:val="333333"/>
              </w:rPr>
            </w:pPr>
            <w:r>
              <w:rPr>
                <w:rFonts w:ascii="Times" w:hAnsi="Times" w:cs="Times"/>
                <w:color w:val="333333"/>
              </w:rPr>
              <w:t>8</w:t>
            </w:r>
          </w:p>
        </w:tc>
        <w:tc>
          <w:tcPr>
            <w:tcW w:w="4140" w:type="dxa"/>
          </w:tcPr>
          <w:p w:rsidR="00E40112" w:rsidRPr="009B0828" w:rsidRDefault="00E40112" w:rsidP="00D7242B">
            <w:pPr>
              <w:pStyle w:val="lbexindentparagraph"/>
              <w:rPr>
                <w:rFonts w:ascii="Times" w:hAnsi="Times" w:cs="Times"/>
                <w:color w:val="333333"/>
                <w:sz w:val="22"/>
                <w:szCs w:val="22"/>
              </w:rPr>
            </w:pPr>
            <w:r w:rsidRPr="009B0828">
              <w:rPr>
                <w:rFonts w:ascii="Times" w:hAnsi="Times" w:cs="Times"/>
                <w:color w:val="333333"/>
                <w:sz w:val="22"/>
                <w:szCs w:val="22"/>
              </w:rPr>
              <w:t>Research conducted in India, Colombia, South Africa, and Uganda indicates that when women have greater control of assets, they are less likely to experience intimate partner violence. Additionally, when women participate in the economy they are able to develop a wider support network, which allows them to more easily escape intimate partner violence.</w:t>
            </w:r>
          </w:p>
        </w:tc>
        <w:tc>
          <w:tcPr>
            <w:tcW w:w="4788" w:type="dxa"/>
          </w:tcPr>
          <w:p w:rsidR="00E40112" w:rsidRPr="009B0828" w:rsidRDefault="004D300F" w:rsidP="00D7242B">
            <w:pPr>
              <w:pStyle w:val="lbexindentparagraph"/>
              <w:rPr>
                <w:i/>
                <w:color w:val="333333"/>
                <w:sz w:val="22"/>
                <w:szCs w:val="22"/>
              </w:rPr>
            </w:pPr>
            <w:r>
              <w:rPr>
                <w:i/>
                <w:color w:val="333333"/>
                <w:sz w:val="22"/>
                <w:szCs w:val="22"/>
              </w:rPr>
              <w:t>Unverifiable</w:t>
            </w:r>
            <w:r w:rsidR="00E40112" w:rsidRPr="009B0828">
              <w:rPr>
                <w:i/>
                <w:color w:val="333333"/>
                <w:sz w:val="22"/>
                <w:szCs w:val="22"/>
              </w:rPr>
              <w:t>.</w:t>
            </w:r>
          </w:p>
          <w:p w:rsidR="00E40112" w:rsidRPr="009B0828" w:rsidRDefault="004B24BD" w:rsidP="00D34E30">
            <w:pPr>
              <w:pStyle w:val="lbexindentparagraph"/>
              <w:rPr>
                <w:color w:val="333333"/>
                <w:sz w:val="22"/>
                <w:szCs w:val="22"/>
              </w:rPr>
            </w:pPr>
            <w:r w:rsidRPr="009B0828">
              <w:rPr>
                <w:color w:val="333333"/>
                <w:sz w:val="22"/>
                <w:szCs w:val="22"/>
              </w:rPr>
              <w:t xml:space="preserve">An extensive internet search </w:t>
            </w:r>
            <w:r w:rsidR="00D34E30" w:rsidRPr="009B0828">
              <w:rPr>
                <w:color w:val="333333"/>
                <w:sz w:val="22"/>
                <w:szCs w:val="22"/>
              </w:rPr>
              <w:t>failed</w:t>
            </w:r>
            <w:r w:rsidRPr="009B0828">
              <w:rPr>
                <w:color w:val="333333"/>
                <w:sz w:val="22"/>
                <w:szCs w:val="22"/>
              </w:rPr>
              <w:t xml:space="preserve"> to locate this research. </w:t>
            </w:r>
            <w:r w:rsidR="00E40112" w:rsidRPr="009B0828">
              <w:rPr>
                <w:color w:val="333333"/>
                <w:sz w:val="22"/>
                <w:szCs w:val="22"/>
              </w:rPr>
              <w:t>According to a comprehensive review</w:t>
            </w:r>
            <w:r w:rsidRPr="009B0828">
              <w:rPr>
                <w:color w:val="333333"/>
                <w:sz w:val="22"/>
                <w:szCs w:val="22"/>
              </w:rPr>
              <w:t xml:space="preserve"> of economic interventions to address domestic violence</w:t>
            </w:r>
            <w:r w:rsidR="00E40112" w:rsidRPr="009B0828">
              <w:rPr>
                <w:color w:val="333333"/>
                <w:sz w:val="22"/>
                <w:szCs w:val="22"/>
              </w:rPr>
              <w:t xml:space="preserve">, “Economic only interventions had very mixed results; while a number showed positive outcomes on IPV in a range of settings, </w:t>
            </w:r>
            <w:r w:rsidR="00E40112" w:rsidRPr="009B0828">
              <w:rPr>
                <w:i/>
                <w:color w:val="333333"/>
                <w:sz w:val="22"/>
                <w:szCs w:val="22"/>
              </w:rPr>
              <w:t>others documen</w:t>
            </w:r>
            <w:r w:rsidR="000B22B7">
              <w:rPr>
                <w:i/>
                <w:color w:val="333333"/>
                <w:sz w:val="22"/>
                <w:szCs w:val="22"/>
              </w:rPr>
              <w:t>ted an intensification of</w:t>
            </w:r>
            <w:r w:rsidR="00E40112" w:rsidRPr="009B0828">
              <w:rPr>
                <w:i/>
                <w:color w:val="333333"/>
                <w:sz w:val="22"/>
                <w:szCs w:val="22"/>
              </w:rPr>
              <w:t xml:space="preserve"> IPV in women receiving transfers or who were part of economic groups</w:t>
            </w:r>
            <w:r w:rsidR="00E40112" w:rsidRPr="009B0828">
              <w:rPr>
                <w:color w:val="333333"/>
                <w:sz w:val="22"/>
                <w:szCs w:val="22"/>
              </w:rPr>
              <w:t>.</w:t>
            </w:r>
            <w:r w:rsidRPr="009B0828">
              <w:rPr>
                <w:color w:val="333333"/>
                <w:sz w:val="22"/>
                <w:szCs w:val="22"/>
              </w:rPr>
              <w:t>”</w:t>
            </w:r>
            <w:r w:rsidRPr="009B0828">
              <w:rPr>
                <w:rStyle w:val="EndnoteReference"/>
                <w:color w:val="333333"/>
                <w:sz w:val="22"/>
                <w:szCs w:val="22"/>
              </w:rPr>
              <w:endnoteReference w:id="8"/>
            </w:r>
            <w:r w:rsidR="007A733E" w:rsidRPr="009B0828">
              <w:rPr>
                <w:color w:val="333333"/>
                <w:sz w:val="22"/>
                <w:szCs w:val="22"/>
              </w:rPr>
              <w:t xml:space="preserve"> [emphasis added]</w:t>
            </w:r>
          </w:p>
        </w:tc>
      </w:tr>
      <w:tr w:rsidR="00E40112" w:rsidTr="00D7242B">
        <w:tc>
          <w:tcPr>
            <w:tcW w:w="648" w:type="dxa"/>
          </w:tcPr>
          <w:p w:rsidR="00E40112" w:rsidRDefault="00B1707E" w:rsidP="00B1707E">
            <w:pPr>
              <w:pStyle w:val="lbexindentparagraph"/>
              <w:jc w:val="center"/>
              <w:rPr>
                <w:rFonts w:ascii="Times" w:hAnsi="Times" w:cs="Times"/>
                <w:color w:val="333333"/>
              </w:rPr>
            </w:pPr>
            <w:r>
              <w:rPr>
                <w:rFonts w:ascii="Times" w:hAnsi="Times" w:cs="Times"/>
                <w:color w:val="333333"/>
              </w:rPr>
              <w:t>9</w:t>
            </w:r>
          </w:p>
        </w:tc>
        <w:tc>
          <w:tcPr>
            <w:tcW w:w="4140" w:type="dxa"/>
          </w:tcPr>
          <w:p w:rsidR="00E40112" w:rsidRPr="009B0828" w:rsidRDefault="00E40112" w:rsidP="00D7242B">
            <w:pPr>
              <w:pStyle w:val="lbexindentparagraph"/>
              <w:rPr>
                <w:rFonts w:ascii="Times" w:hAnsi="Times" w:cs="Times"/>
                <w:color w:val="333333"/>
                <w:sz w:val="22"/>
                <w:szCs w:val="22"/>
              </w:rPr>
            </w:pPr>
            <w:r w:rsidRPr="009B0828">
              <w:rPr>
                <w:rFonts w:ascii="Times" w:hAnsi="Times" w:cs="Times"/>
                <w:color w:val="333333"/>
                <w:sz w:val="22"/>
                <w:szCs w:val="22"/>
              </w:rPr>
              <w:t>Gender-based violence impacts livelihoods and food security by reducing work capacity and productivity, including the ability to grow food for consumption. Studies have shown that women</w:t>
            </w:r>
            <w:r w:rsidR="004B24BD" w:rsidRPr="009B0828">
              <w:rPr>
                <w:rFonts w:ascii="Times" w:hAnsi="Times" w:cs="Times"/>
                <w:color w:val="333333"/>
                <w:sz w:val="22"/>
                <w:szCs w:val="22"/>
              </w:rPr>
              <w:t xml:space="preserve"> affected by gender </w:t>
            </w:r>
            <w:r w:rsidRPr="009B0828">
              <w:rPr>
                <w:rFonts w:ascii="Times" w:hAnsi="Times" w:cs="Times"/>
                <w:color w:val="333333"/>
                <w:sz w:val="22"/>
                <w:szCs w:val="22"/>
              </w:rPr>
              <w:t>based violence are exposed to illnesses and injuries that hamper their ability to work productively and care for their families. Diminished food production consequently increases hunger and women’s vulnerability to further violence.</w:t>
            </w:r>
          </w:p>
        </w:tc>
        <w:tc>
          <w:tcPr>
            <w:tcW w:w="4788" w:type="dxa"/>
          </w:tcPr>
          <w:p w:rsidR="00E40112" w:rsidRPr="009B0828" w:rsidRDefault="004D300F" w:rsidP="00D7242B">
            <w:pPr>
              <w:pStyle w:val="lbexindentparagraph"/>
              <w:rPr>
                <w:i/>
                <w:color w:val="333333"/>
                <w:sz w:val="22"/>
                <w:szCs w:val="22"/>
              </w:rPr>
            </w:pPr>
            <w:r>
              <w:rPr>
                <w:i/>
                <w:color w:val="333333"/>
                <w:sz w:val="22"/>
                <w:szCs w:val="22"/>
              </w:rPr>
              <w:t>Un</w:t>
            </w:r>
            <w:r w:rsidR="007A733E" w:rsidRPr="009B0828">
              <w:rPr>
                <w:i/>
                <w:color w:val="333333"/>
                <w:sz w:val="22"/>
                <w:szCs w:val="22"/>
              </w:rPr>
              <w:t>verifiable and</w:t>
            </w:r>
            <w:r w:rsidR="00B066B9">
              <w:rPr>
                <w:i/>
                <w:color w:val="333333"/>
                <w:sz w:val="22"/>
                <w:szCs w:val="22"/>
              </w:rPr>
              <w:t xml:space="preserve"> i</w:t>
            </w:r>
            <w:r w:rsidR="00776D32" w:rsidRPr="009B0828">
              <w:rPr>
                <w:i/>
                <w:color w:val="333333"/>
                <w:sz w:val="22"/>
                <w:szCs w:val="22"/>
              </w:rPr>
              <w:t>deological</w:t>
            </w:r>
            <w:r w:rsidR="004B24BD" w:rsidRPr="009B0828">
              <w:rPr>
                <w:i/>
                <w:color w:val="333333"/>
                <w:sz w:val="22"/>
                <w:szCs w:val="22"/>
              </w:rPr>
              <w:t>.</w:t>
            </w:r>
          </w:p>
          <w:p w:rsidR="00776D32" w:rsidRPr="009B0828" w:rsidRDefault="00776D32" w:rsidP="00D7242B">
            <w:pPr>
              <w:pStyle w:val="lbexindentparagraph"/>
              <w:rPr>
                <w:color w:val="333333"/>
                <w:sz w:val="22"/>
                <w:szCs w:val="22"/>
              </w:rPr>
            </w:pPr>
            <w:r w:rsidRPr="009B0828">
              <w:rPr>
                <w:color w:val="333333"/>
                <w:sz w:val="22"/>
                <w:szCs w:val="22"/>
              </w:rPr>
              <w:t>The most comprehensive and rigorous summary on domestic violence in the international context makes no such claims.</w:t>
            </w:r>
            <w:r w:rsidRPr="009B0828">
              <w:rPr>
                <w:rStyle w:val="EndnoteReference"/>
                <w:color w:val="333333"/>
                <w:sz w:val="22"/>
                <w:szCs w:val="22"/>
              </w:rPr>
              <w:endnoteReference w:id="9"/>
            </w:r>
          </w:p>
          <w:p w:rsidR="00E40112" w:rsidRPr="009B0828" w:rsidRDefault="00E40112" w:rsidP="00D7242B">
            <w:pPr>
              <w:pStyle w:val="lbexindentparagraph"/>
              <w:rPr>
                <w:i/>
                <w:color w:val="333333"/>
                <w:sz w:val="22"/>
                <w:szCs w:val="22"/>
              </w:rPr>
            </w:pPr>
          </w:p>
        </w:tc>
      </w:tr>
      <w:tr w:rsidR="00E40112" w:rsidTr="00D7242B">
        <w:tc>
          <w:tcPr>
            <w:tcW w:w="648" w:type="dxa"/>
          </w:tcPr>
          <w:p w:rsidR="00E40112" w:rsidRDefault="00B1707E" w:rsidP="00B1707E">
            <w:pPr>
              <w:pStyle w:val="lbexindentparagraph"/>
              <w:jc w:val="center"/>
              <w:rPr>
                <w:rFonts w:ascii="Times" w:hAnsi="Times" w:cs="Times"/>
                <w:color w:val="333333"/>
              </w:rPr>
            </w:pPr>
            <w:r>
              <w:rPr>
                <w:rFonts w:ascii="Times" w:hAnsi="Times" w:cs="Times"/>
                <w:color w:val="333333"/>
              </w:rPr>
              <w:t>10</w:t>
            </w:r>
          </w:p>
        </w:tc>
        <w:tc>
          <w:tcPr>
            <w:tcW w:w="4140" w:type="dxa"/>
          </w:tcPr>
          <w:p w:rsidR="00E40112" w:rsidRPr="009B0828" w:rsidRDefault="00E40112" w:rsidP="00D7242B">
            <w:pPr>
              <w:pStyle w:val="lbexindentparagraph"/>
              <w:rPr>
                <w:rFonts w:ascii="Times" w:hAnsi="Times" w:cs="Times"/>
                <w:color w:val="333333"/>
                <w:sz w:val="22"/>
                <w:szCs w:val="22"/>
              </w:rPr>
            </w:pPr>
            <w:r w:rsidRPr="009B0828">
              <w:rPr>
                <w:rFonts w:ascii="Times" w:hAnsi="Times" w:cs="Times"/>
                <w:color w:val="333333"/>
                <w:sz w:val="22"/>
                <w:szCs w:val="22"/>
              </w:rPr>
              <w:t>Country studies indicate that the risk of HIV among women who have experienced violence may be up to three times higher than among those who have not experience violence. The World Health Organization found that women who experience intimate partner violence are at more than 50 percent greater risk of HIV infection, and in some instances their risk of HIV infection increases four-</w:t>
            </w:r>
            <w:r w:rsidRPr="009B0828">
              <w:rPr>
                <w:rFonts w:ascii="Times" w:hAnsi="Times" w:cs="Times"/>
                <w:color w:val="333333"/>
                <w:sz w:val="22"/>
                <w:szCs w:val="22"/>
              </w:rPr>
              <w:lastRenderedPageBreak/>
              <w:t>fold. Women living with HIV are more likely to experience violence than other women, and fear of violence can prevent women from accessing HIV/AIDS information and receiving treatment and counseling.</w:t>
            </w:r>
          </w:p>
        </w:tc>
        <w:tc>
          <w:tcPr>
            <w:tcW w:w="4788" w:type="dxa"/>
          </w:tcPr>
          <w:p w:rsidR="00E40112" w:rsidRPr="009B0828" w:rsidRDefault="00AC7BB8" w:rsidP="00D7242B">
            <w:pPr>
              <w:rPr>
                <w:rFonts w:ascii="Times New Roman" w:hAnsi="Times New Roman" w:cs="Times New Roman"/>
              </w:rPr>
            </w:pPr>
            <w:r>
              <w:rPr>
                <w:rFonts w:ascii="Times New Roman" w:hAnsi="Times New Roman" w:cs="Times New Roman"/>
                <w:i/>
              </w:rPr>
              <w:lastRenderedPageBreak/>
              <w:t>One-sided and m</w:t>
            </w:r>
            <w:r w:rsidR="00B066B9">
              <w:rPr>
                <w:rFonts w:ascii="Times New Roman" w:hAnsi="Times New Roman" w:cs="Times New Roman"/>
                <w:i/>
              </w:rPr>
              <w:t>isleading</w:t>
            </w:r>
            <w:r w:rsidR="00E40112" w:rsidRPr="009B0828">
              <w:rPr>
                <w:rFonts w:ascii="Times New Roman" w:hAnsi="Times New Roman" w:cs="Times New Roman"/>
                <w:i/>
              </w:rPr>
              <w:t>.</w:t>
            </w:r>
            <w:r w:rsidR="00E40112" w:rsidRPr="009B0828">
              <w:rPr>
                <w:rFonts w:ascii="Times New Roman" w:hAnsi="Times New Roman" w:cs="Times New Roman"/>
              </w:rPr>
              <w:t xml:space="preserve"> </w:t>
            </w:r>
          </w:p>
          <w:p w:rsidR="00E40112" w:rsidRPr="009B0828" w:rsidRDefault="00E40112" w:rsidP="00B066B9">
            <w:pPr>
              <w:pStyle w:val="lbexindentparagraph"/>
              <w:rPr>
                <w:sz w:val="22"/>
                <w:szCs w:val="22"/>
              </w:rPr>
            </w:pPr>
            <w:r w:rsidRPr="009B0828">
              <w:rPr>
                <w:sz w:val="22"/>
                <w:szCs w:val="22"/>
              </w:rPr>
              <w:t xml:space="preserve">The </w:t>
            </w:r>
            <w:r w:rsidR="00B066B9">
              <w:rPr>
                <w:sz w:val="22"/>
                <w:szCs w:val="22"/>
              </w:rPr>
              <w:t>finding</w:t>
            </w:r>
            <w:r w:rsidRPr="009B0828">
              <w:rPr>
                <w:sz w:val="22"/>
                <w:szCs w:val="22"/>
              </w:rPr>
              <w:t xml:space="preserve"> is misleading because HIV-positive men are also at greater risk of becomin</w:t>
            </w:r>
            <w:r w:rsidR="007A733E" w:rsidRPr="009B0828">
              <w:rPr>
                <w:sz w:val="22"/>
                <w:szCs w:val="22"/>
              </w:rPr>
              <w:t>g victims of domestic violence</w:t>
            </w:r>
            <w:r w:rsidRPr="009B0828">
              <w:rPr>
                <w:sz w:val="22"/>
                <w:szCs w:val="22"/>
              </w:rPr>
              <w:t>.</w:t>
            </w:r>
            <w:r w:rsidRPr="009B0828">
              <w:rPr>
                <w:rStyle w:val="EndnoteReference"/>
                <w:sz w:val="22"/>
                <w:szCs w:val="22"/>
              </w:rPr>
              <w:endnoteReference w:id="10"/>
            </w:r>
          </w:p>
        </w:tc>
      </w:tr>
      <w:tr w:rsidR="00E40112" w:rsidTr="00D7242B">
        <w:tc>
          <w:tcPr>
            <w:tcW w:w="648" w:type="dxa"/>
          </w:tcPr>
          <w:p w:rsidR="00E40112" w:rsidRDefault="00B1707E" w:rsidP="00B1707E">
            <w:pPr>
              <w:pStyle w:val="lbexindentparagraph"/>
              <w:jc w:val="center"/>
              <w:rPr>
                <w:rFonts w:ascii="Times" w:hAnsi="Times" w:cs="Times"/>
                <w:color w:val="333333"/>
              </w:rPr>
            </w:pPr>
            <w:r>
              <w:rPr>
                <w:rFonts w:ascii="Times" w:hAnsi="Times" w:cs="Times"/>
                <w:color w:val="333333"/>
              </w:rPr>
              <w:t>11</w:t>
            </w:r>
          </w:p>
        </w:tc>
        <w:tc>
          <w:tcPr>
            <w:tcW w:w="4140" w:type="dxa"/>
          </w:tcPr>
          <w:p w:rsidR="00E40112" w:rsidRPr="009B0828" w:rsidRDefault="00E40112" w:rsidP="00D7242B">
            <w:pPr>
              <w:pStyle w:val="lbexindentparagraph"/>
              <w:rPr>
                <w:rFonts w:ascii="Times" w:hAnsi="Times" w:cs="Times"/>
                <w:color w:val="333333"/>
                <w:sz w:val="22"/>
                <w:szCs w:val="22"/>
              </w:rPr>
            </w:pPr>
            <w:r w:rsidRPr="009B0828">
              <w:rPr>
                <w:rFonts w:ascii="Times" w:hAnsi="Times" w:cs="Times"/>
                <w:color w:val="333333"/>
                <w:sz w:val="22"/>
                <w:szCs w:val="22"/>
              </w:rPr>
              <w:t>Addressing gender norms and inequities is essential to reducing HIV risk and increasing access to HIV prevention, care, and treatment services for women and men. The President’s Emergency Plan for AIDS Relief (PEPFAR) supports significant work in the field to incorporate efforts to prevent and respond to gender-based violence into existing HIV treatment and prevention programs.</w:t>
            </w:r>
          </w:p>
        </w:tc>
        <w:tc>
          <w:tcPr>
            <w:tcW w:w="4788" w:type="dxa"/>
          </w:tcPr>
          <w:p w:rsidR="00E40112" w:rsidRPr="009B0828" w:rsidRDefault="002668E1" w:rsidP="00D7242B">
            <w:pPr>
              <w:rPr>
                <w:rFonts w:ascii="Times New Roman" w:hAnsi="Times New Roman" w:cs="Times New Roman"/>
              </w:rPr>
            </w:pPr>
            <w:r>
              <w:rPr>
                <w:rFonts w:ascii="Times New Roman" w:hAnsi="Times New Roman" w:cs="Times New Roman"/>
                <w:i/>
              </w:rPr>
              <w:t>Ideological</w:t>
            </w:r>
            <w:r w:rsidR="00B94905">
              <w:rPr>
                <w:rFonts w:ascii="Times New Roman" w:hAnsi="Times New Roman" w:cs="Times New Roman"/>
                <w:i/>
              </w:rPr>
              <w:t>.</w:t>
            </w:r>
          </w:p>
          <w:p w:rsidR="00E40112" w:rsidRDefault="00E40112" w:rsidP="00044B0C">
            <w:pPr>
              <w:pStyle w:val="lbexindentparagraph"/>
              <w:rPr>
                <w:sz w:val="22"/>
                <w:szCs w:val="22"/>
              </w:rPr>
            </w:pPr>
            <w:r w:rsidRPr="009B0828">
              <w:rPr>
                <w:sz w:val="22"/>
                <w:szCs w:val="22"/>
              </w:rPr>
              <w:t xml:space="preserve">According to </w:t>
            </w:r>
            <w:r w:rsidR="00044B0C">
              <w:rPr>
                <w:sz w:val="22"/>
                <w:szCs w:val="22"/>
              </w:rPr>
              <w:t>gender</w:t>
            </w:r>
            <w:r w:rsidRPr="009B0828">
              <w:rPr>
                <w:sz w:val="22"/>
                <w:szCs w:val="22"/>
              </w:rPr>
              <w:t xml:space="preserve"> ideology, the cause of domestic violence is men</w:t>
            </w:r>
            <w:r w:rsidR="004D300F">
              <w:rPr>
                <w:sz w:val="22"/>
                <w:szCs w:val="22"/>
              </w:rPr>
              <w:t>’s need for patriarchal control, which explains the focus on “gender norms.”</w:t>
            </w:r>
            <w:r w:rsidRPr="009B0828">
              <w:rPr>
                <w:sz w:val="22"/>
                <w:szCs w:val="22"/>
              </w:rPr>
              <w:t xml:space="preserve"> But according to a </w:t>
            </w:r>
            <w:r w:rsidR="00690C04">
              <w:rPr>
                <w:sz w:val="22"/>
                <w:szCs w:val="22"/>
              </w:rPr>
              <w:t>32-country of dating violence, the</w:t>
            </w:r>
            <w:r w:rsidRPr="009B0828">
              <w:rPr>
                <w:sz w:val="22"/>
                <w:szCs w:val="22"/>
              </w:rPr>
              <w:t xml:space="preserve"> need for “control” in the relationship was the same for </w:t>
            </w:r>
            <w:r w:rsidR="007A733E" w:rsidRPr="009B0828">
              <w:rPr>
                <w:sz w:val="22"/>
                <w:szCs w:val="22"/>
              </w:rPr>
              <w:t>male</w:t>
            </w:r>
            <w:r w:rsidRPr="009B0828">
              <w:rPr>
                <w:sz w:val="22"/>
                <w:szCs w:val="22"/>
              </w:rPr>
              <w:t xml:space="preserve"> and </w:t>
            </w:r>
            <w:r w:rsidR="007A733E" w:rsidRPr="009B0828">
              <w:rPr>
                <w:sz w:val="22"/>
                <w:szCs w:val="22"/>
              </w:rPr>
              <w:t>female abusers</w:t>
            </w:r>
            <w:r w:rsidRPr="009B0828">
              <w:rPr>
                <w:sz w:val="22"/>
                <w:szCs w:val="22"/>
              </w:rPr>
              <w:t>.</w:t>
            </w:r>
            <w:r w:rsidRPr="009B0828">
              <w:rPr>
                <w:rStyle w:val="EndnoteReference"/>
                <w:sz w:val="22"/>
                <w:szCs w:val="22"/>
              </w:rPr>
              <w:endnoteReference w:id="11"/>
            </w:r>
          </w:p>
          <w:p w:rsidR="004D300F" w:rsidRPr="009B0828" w:rsidRDefault="004D300F" w:rsidP="00044B0C">
            <w:pPr>
              <w:pStyle w:val="lbexindentparagraph"/>
              <w:rPr>
                <w:color w:val="333333"/>
                <w:sz w:val="22"/>
                <w:szCs w:val="22"/>
              </w:rPr>
            </w:pPr>
          </w:p>
        </w:tc>
      </w:tr>
      <w:tr w:rsidR="00E40112" w:rsidTr="00D7242B">
        <w:tc>
          <w:tcPr>
            <w:tcW w:w="648" w:type="dxa"/>
          </w:tcPr>
          <w:p w:rsidR="00E40112" w:rsidRDefault="00B1707E" w:rsidP="00B1707E">
            <w:pPr>
              <w:pStyle w:val="lbexindentparagraph"/>
              <w:jc w:val="center"/>
              <w:rPr>
                <w:rFonts w:ascii="Times" w:hAnsi="Times" w:cs="Times"/>
                <w:color w:val="333333"/>
              </w:rPr>
            </w:pPr>
            <w:r>
              <w:rPr>
                <w:rFonts w:ascii="Times" w:hAnsi="Times" w:cs="Times"/>
                <w:color w:val="333333"/>
              </w:rPr>
              <w:t>12</w:t>
            </w:r>
          </w:p>
        </w:tc>
        <w:tc>
          <w:tcPr>
            <w:tcW w:w="4140" w:type="dxa"/>
          </w:tcPr>
          <w:p w:rsidR="00E40112" w:rsidRPr="009B0828" w:rsidRDefault="00E40112" w:rsidP="00D7242B">
            <w:pPr>
              <w:pStyle w:val="lbexindentparagraph"/>
              <w:rPr>
                <w:rFonts w:ascii="Times" w:hAnsi="Times" w:cs="Times"/>
                <w:color w:val="333333"/>
                <w:sz w:val="22"/>
                <w:szCs w:val="22"/>
              </w:rPr>
            </w:pPr>
            <w:r w:rsidRPr="009B0828">
              <w:rPr>
                <w:rFonts w:ascii="Times" w:hAnsi="Times" w:cs="Times"/>
                <w:color w:val="333333"/>
                <w:sz w:val="22"/>
                <w:szCs w:val="22"/>
              </w:rPr>
              <w:t>Prevalence of sexual and physical violence is higher among persons with disabilities, particularly for adolescents and intimate partners with disabilities, and for men and women with intellectual impairments living in institutions. The World Health Organization reports that rates of gender-based violence are between 4 and 10 times greater among persons with disabilities compared to non-disabled persons.</w:t>
            </w:r>
          </w:p>
        </w:tc>
        <w:tc>
          <w:tcPr>
            <w:tcW w:w="4788" w:type="dxa"/>
          </w:tcPr>
          <w:p w:rsidR="00E40112" w:rsidRPr="009B0828" w:rsidRDefault="009B0828" w:rsidP="00D7242B">
            <w:pPr>
              <w:pStyle w:val="lbexindentparagraph"/>
              <w:rPr>
                <w:i/>
                <w:color w:val="333333"/>
                <w:sz w:val="22"/>
                <w:szCs w:val="22"/>
              </w:rPr>
            </w:pPr>
            <w:r w:rsidRPr="009B0828">
              <w:rPr>
                <w:i/>
                <w:color w:val="333333"/>
                <w:sz w:val="22"/>
                <w:szCs w:val="22"/>
              </w:rPr>
              <w:t>Generally</w:t>
            </w:r>
            <w:r w:rsidR="00184FDA" w:rsidRPr="009B0828">
              <w:rPr>
                <w:i/>
                <w:color w:val="333333"/>
                <w:sz w:val="22"/>
                <w:szCs w:val="22"/>
              </w:rPr>
              <w:t xml:space="preserve"> </w:t>
            </w:r>
            <w:r w:rsidR="006F6988">
              <w:rPr>
                <w:i/>
                <w:color w:val="333333"/>
                <w:sz w:val="22"/>
                <w:szCs w:val="22"/>
              </w:rPr>
              <w:t>correct</w:t>
            </w:r>
            <w:r w:rsidR="00184FDA" w:rsidRPr="009B0828">
              <w:rPr>
                <w:i/>
                <w:color w:val="333333"/>
                <w:sz w:val="22"/>
                <w:szCs w:val="22"/>
              </w:rPr>
              <w:t>,</w:t>
            </w:r>
            <w:r w:rsidR="006502EC" w:rsidRPr="00044B0C">
              <w:rPr>
                <w:i/>
                <w:color w:val="333333"/>
                <w:sz w:val="22"/>
                <w:szCs w:val="22"/>
              </w:rPr>
              <w:t xml:space="preserve"> although the cited number is </w:t>
            </w:r>
            <w:r w:rsidR="006F6988">
              <w:rPr>
                <w:i/>
                <w:color w:val="333333"/>
                <w:sz w:val="22"/>
                <w:szCs w:val="22"/>
              </w:rPr>
              <w:t>wrong</w:t>
            </w:r>
            <w:r w:rsidR="006502EC" w:rsidRPr="00044B0C">
              <w:rPr>
                <w:i/>
                <w:color w:val="333333"/>
                <w:sz w:val="22"/>
                <w:szCs w:val="22"/>
              </w:rPr>
              <w:t>.</w:t>
            </w:r>
          </w:p>
          <w:p w:rsidR="009B0828" w:rsidRPr="009B0828" w:rsidRDefault="00184FDA" w:rsidP="00184FDA">
            <w:pPr>
              <w:pStyle w:val="lbexindentparagraph"/>
              <w:rPr>
                <w:color w:val="333333"/>
                <w:sz w:val="22"/>
                <w:szCs w:val="22"/>
              </w:rPr>
            </w:pPr>
            <w:r w:rsidRPr="009B0828">
              <w:rPr>
                <w:color w:val="333333"/>
                <w:sz w:val="22"/>
                <w:szCs w:val="22"/>
              </w:rPr>
              <w:t>The WHO study report</w:t>
            </w:r>
            <w:r w:rsidR="009B0828" w:rsidRPr="009B0828">
              <w:rPr>
                <w:color w:val="333333"/>
                <w:sz w:val="22"/>
                <w:szCs w:val="22"/>
              </w:rPr>
              <w:t>s</w:t>
            </w:r>
            <w:r w:rsidRPr="009B0828">
              <w:rPr>
                <w:color w:val="333333"/>
                <w:sz w:val="22"/>
                <w:szCs w:val="22"/>
              </w:rPr>
              <w:t xml:space="preserve">, “We calculated a pooled prevalence for </w:t>
            </w:r>
            <w:r w:rsidR="00B066B9">
              <w:rPr>
                <w:color w:val="333333"/>
                <w:sz w:val="22"/>
                <w:szCs w:val="22"/>
              </w:rPr>
              <w:t>intimate partner violence of 37.</w:t>
            </w:r>
            <w:r w:rsidRPr="009B0828">
              <w:rPr>
                <w:color w:val="333333"/>
                <w:sz w:val="22"/>
                <w:szCs w:val="22"/>
              </w:rPr>
              <w:t>8%...for three studies that included 574 individuals with mental illnesses.”</w:t>
            </w:r>
            <w:r w:rsidRPr="009B0828">
              <w:rPr>
                <w:rStyle w:val="EndnoteReference"/>
                <w:color w:val="333333"/>
                <w:sz w:val="22"/>
                <w:szCs w:val="22"/>
              </w:rPr>
              <w:endnoteReference w:id="12"/>
            </w:r>
            <w:r w:rsidRPr="009B0828">
              <w:rPr>
                <w:color w:val="333333"/>
                <w:sz w:val="22"/>
                <w:szCs w:val="22"/>
              </w:rPr>
              <w:t xml:space="preserve"> </w:t>
            </w:r>
          </w:p>
          <w:p w:rsidR="00184FDA" w:rsidRPr="009B0828" w:rsidRDefault="00184FDA" w:rsidP="00184FDA">
            <w:pPr>
              <w:pStyle w:val="lbexindentparagraph"/>
              <w:rPr>
                <w:color w:val="333333"/>
                <w:sz w:val="22"/>
                <w:szCs w:val="22"/>
              </w:rPr>
            </w:pPr>
            <w:r w:rsidRPr="009B0828">
              <w:rPr>
                <w:color w:val="333333"/>
                <w:sz w:val="22"/>
                <w:szCs w:val="22"/>
              </w:rPr>
              <w:t>The report also states the odds ratio for these three studies is 1.78.</w:t>
            </w:r>
            <w:r w:rsidR="009B0828" w:rsidRPr="009B0828">
              <w:rPr>
                <w:color w:val="333333"/>
                <w:sz w:val="22"/>
                <w:szCs w:val="22"/>
              </w:rPr>
              <w:t xml:space="preserve"> which means the rates of partner violence are nearly twice as high – not “4 and 10 times greater” among persons with disabilities.</w:t>
            </w:r>
          </w:p>
          <w:p w:rsidR="009B0828" w:rsidRPr="009B0828" w:rsidRDefault="009B0828" w:rsidP="009B0828">
            <w:pPr>
              <w:pStyle w:val="lbexindentparagraph"/>
              <w:rPr>
                <w:color w:val="333333"/>
                <w:sz w:val="22"/>
                <w:szCs w:val="22"/>
              </w:rPr>
            </w:pPr>
            <w:r w:rsidRPr="009B0828">
              <w:rPr>
                <w:color w:val="333333"/>
                <w:sz w:val="22"/>
                <w:szCs w:val="22"/>
              </w:rPr>
              <w:t>The studies on intellectual disabilities did not address sexual or partner violence, and are irrelevant to the I-VAWA bill.</w:t>
            </w:r>
          </w:p>
        </w:tc>
      </w:tr>
      <w:tr w:rsidR="00E40112" w:rsidTr="00D7242B">
        <w:tc>
          <w:tcPr>
            <w:tcW w:w="648" w:type="dxa"/>
          </w:tcPr>
          <w:p w:rsidR="00E40112" w:rsidRDefault="00B1707E" w:rsidP="00B1707E">
            <w:pPr>
              <w:pStyle w:val="lbexindentparagraph"/>
              <w:jc w:val="center"/>
              <w:rPr>
                <w:rFonts w:ascii="Times" w:hAnsi="Times" w:cs="Times"/>
                <w:color w:val="333333"/>
              </w:rPr>
            </w:pPr>
            <w:r>
              <w:rPr>
                <w:rFonts w:ascii="Times" w:hAnsi="Times" w:cs="Times"/>
                <w:color w:val="333333"/>
              </w:rPr>
              <w:t>13</w:t>
            </w:r>
          </w:p>
        </w:tc>
        <w:tc>
          <w:tcPr>
            <w:tcW w:w="4140" w:type="dxa"/>
          </w:tcPr>
          <w:p w:rsidR="00E40112" w:rsidRPr="009B0828" w:rsidRDefault="00E40112" w:rsidP="00D7242B">
            <w:pPr>
              <w:pStyle w:val="lbexindentparagraph"/>
              <w:shd w:val="clear" w:color="auto" w:fill="FFFFFF"/>
              <w:rPr>
                <w:rFonts w:ascii="Times" w:hAnsi="Times" w:cs="Times"/>
                <w:color w:val="333333"/>
                <w:sz w:val="22"/>
                <w:szCs w:val="22"/>
              </w:rPr>
            </w:pPr>
            <w:r w:rsidRPr="009B0828">
              <w:rPr>
                <w:rFonts w:ascii="Times" w:hAnsi="Times" w:cs="Times"/>
                <w:color w:val="333333"/>
                <w:sz w:val="22"/>
                <w:szCs w:val="22"/>
              </w:rPr>
              <w:t>Displaced, refugee, and stateless women and girls in humanitarian emergencies, conflict settings, and natural disasters face extreme violence and threats, including—</w:t>
            </w:r>
          </w:p>
          <w:p w:rsidR="00E40112" w:rsidRPr="009B0828" w:rsidRDefault="00E40112" w:rsidP="00D7242B">
            <w:pPr>
              <w:pStyle w:val="lbexindentsubpar"/>
              <w:shd w:val="clear" w:color="auto" w:fill="FFFFFF"/>
              <w:ind w:firstLine="480"/>
              <w:rPr>
                <w:rFonts w:ascii="Times" w:hAnsi="Times" w:cs="Times"/>
                <w:color w:val="333333"/>
                <w:sz w:val="22"/>
                <w:szCs w:val="22"/>
              </w:rPr>
            </w:pPr>
            <w:r w:rsidRPr="009B0828">
              <w:rPr>
                <w:rFonts w:ascii="Times" w:hAnsi="Times" w:cs="Times"/>
                <w:color w:val="333333"/>
                <w:sz w:val="22"/>
                <w:szCs w:val="22"/>
              </w:rPr>
              <w:t>(A) being forced to exchange sex for food and humanitarian supplies; and</w:t>
            </w:r>
          </w:p>
          <w:p w:rsidR="00E40112" w:rsidRPr="009B0828" w:rsidRDefault="00E40112" w:rsidP="00D7242B">
            <w:pPr>
              <w:pStyle w:val="lbexindentsubpar"/>
              <w:shd w:val="clear" w:color="auto" w:fill="FFFFFF"/>
              <w:ind w:firstLine="480"/>
              <w:rPr>
                <w:rFonts w:ascii="Times" w:hAnsi="Times" w:cs="Times"/>
                <w:color w:val="333333"/>
                <w:sz w:val="22"/>
                <w:szCs w:val="22"/>
              </w:rPr>
            </w:pPr>
            <w:r w:rsidRPr="009B0828">
              <w:rPr>
                <w:rFonts w:ascii="Times" w:hAnsi="Times" w:cs="Times"/>
                <w:color w:val="333333"/>
                <w:sz w:val="22"/>
                <w:szCs w:val="22"/>
              </w:rPr>
              <w:t>(B) being at increased risk of rape, sexual exploitation, and abuse.</w:t>
            </w:r>
          </w:p>
        </w:tc>
        <w:tc>
          <w:tcPr>
            <w:tcW w:w="4788" w:type="dxa"/>
          </w:tcPr>
          <w:p w:rsidR="00E40112" w:rsidRPr="009B0828" w:rsidRDefault="00B066B9" w:rsidP="00D7242B">
            <w:pPr>
              <w:rPr>
                <w:rFonts w:ascii="Times New Roman" w:hAnsi="Times New Roman" w:cs="Times New Roman"/>
                <w:i/>
              </w:rPr>
            </w:pPr>
            <w:r>
              <w:rPr>
                <w:rFonts w:ascii="Times New Roman" w:hAnsi="Times New Roman" w:cs="Times New Roman"/>
                <w:i/>
              </w:rPr>
              <w:t>One-sided</w:t>
            </w:r>
            <w:r w:rsidR="00E40112" w:rsidRPr="009B0828">
              <w:rPr>
                <w:rFonts w:ascii="Times New Roman" w:hAnsi="Times New Roman" w:cs="Times New Roman"/>
                <w:i/>
              </w:rPr>
              <w:t xml:space="preserve"> and misleading.</w:t>
            </w:r>
          </w:p>
          <w:p w:rsidR="00E40112" w:rsidRPr="009B0828" w:rsidRDefault="00F72FF8" w:rsidP="00F72FF8">
            <w:pPr>
              <w:pStyle w:val="lbexindentparagraph"/>
              <w:rPr>
                <w:color w:val="333333"/>
                <w:sz w:val="22"/>
                <w:szCs w:val="22"/>
              </w:rPr>
            </w:pPr>
            <w:r w:rsidRPr="009B0828">
              <w:rPr>
                <w:sz w:val="22"/>
                <w:szCs w:val="22"/>
              </w:rPr>
              <w:t>During humanitarian emergencies and natural disasters, persons of both sexes face far greater risks of exploitation, abuse, and death.</w:t>
            </w:r>
            <w:r w:rsidRPr="009B0828">
              <w:rPr>
                <w:rStyle w:val="EndnoteReference"/>
                <w:sz w:val="22"/>
                <w:szCs w:val="22"/>
              </w:rPr>
              <w:endnoteReference w:id="13"/>
            </w:r>
            <w:r>
              <w:rPr>
                <w:sz w:val="22"/>
                <w:szCs w:val="22"/>
              </w:rPr>
              <w:t xml:space="preserve"> I</w:t>
            </w:r>
            <w:r w:rsidR="00044B0C">
              <w:rPr>
                <w:sz w:val="22"/>
                <w:szCs w:val="22"/>
              </w:rPr>
              <w:t>mpl</w:t>
            </w:r>
            <w:r>
              <w:rPr>
                <w:sz w:val="22"/>
                <w:szCs w:val="22"/>
              </w:rPr>
              <w:t>ying</w:t>
            </w:r>
            <w:r w:rsidR="00044B0C">
              <w:rPr>
                <w:sz w:val="22"/>
                <w:szCs w:val="22"/>
              </w:rPr>
              <w:t xml:space="preserve"> that women</w:t>
            </w:r>
            <w:r w:rsidR="004D300F">
              <w:rPr>
                <w:sz w:val="22"/>
                <w:szCs w:val="22"/>
              </w:rPr>
              <w:t>, but not men</w:t>
            </w:r>
            <w:r w:rsidR="00044B0C">
              <w:rPr>
                <w:sz w:val="22"/>
                <w:szCs w:val="22"/>
              </w:rPr>
              <w:t xml:space="preserve"> are at greater risk of victimization during humanitarian emergencies, conflict settings, and natural disasters</w:t>
            </w:r>
            <w:r w:rsidR="00DB1E0E">
              <w:rPr>
                <w:sz w:val="22"/>
                <w:szCs w:val="22"/>
              </w:rPr>
              <w:t>,</w:t>
            </w:r>
            <w:r>
              <w:rPr>
                <w:sz w:val="22"/>
                <w:szCs w:val="22"/>
              </w:rPr>
              <w:t xml:space="preserve"> challenges credulity</w:t>
            </w:r>
            <w:r w:rsidR="00044B0C">
              <w:rPr>
                <w:sz w:val="22"/>
                <w:szCs w:val="22"/>
              </w:rPr>
              <w:t xml:space="preserve">. </w:t>
            </w:r>
          </w:p>
        </w:tc>
      </w:tr>
      <w:tr w:rsidR="00E40112" w:rsidTr="00D7242B">
        <w:tc>
          <w:tcPr>
            <w:tcW w:w="648" w:type="dxa"/>
          </w:tcPr>
          <w:p w:rsidR="00E40112" w:rsidRDefault="00B1707E" w:rsidP="00B1707E">
            <w:pPr>
              <w:pStyle w:val="lbexindentparagraph"/>
              <w:jc w:val="center"/>
              <w:rPr>
                <w:rFonts w:ascii="Times" w:hAnsi="Times" w:cs="Times"/>
                <w:color w:val="333333"/>
              </w:rPr>
            </w:pPr>
            <w:r>
              <w:rPr>
                <w:rFonts w:ascii="Times" w:hAnsi="Times" w:cs="Times"/>
                <w:color w:val="333333"/>
              </w:rPr>
              <w:t>14</w:t>
            </w:r>
          </w:p>
        </w:tc>
        <w:tc>
          <w:tcPr>
            <w:tcW w:w="4140" w:type="dxa"/>
          </w:tcPr>
          <w:p w:rsidR="00E40112" w:rsidRPr="009B0828" w:rsidRDefault="00E40112" w:rsidP="00D7242B">
            <w:pPr>
              <w:pStyle w:val="lbexindentparagraph"/>
              <w:rPr>
                <w:rFonts w:ascii="Times" w:hAnsi="Times" w:cs="Times"/>
                <w:color w:val="333333"/>
                <w:sz w:val="22"/>
                <w:szCs w:val="22"/>
              </w:rPr>
            </w:pPr>
            <w:r w:rsidRPr="009B0828">
              <w:rPr>
                <w:rFonts w:ascii="Times" w:hAnsi="Times" w:cs="Times"/>
                <w:color w:val="333333"/>
                <w:sz w:val="22"/>
                <w:szCs w:val="22"/>
              </w:rPr>
              <w:t>Rape and sexual assault against women and girls are used to torture, intimidate, and terrorize communities. Rape and sexual assault are used as tools of war in conflict zones, including the Democratic Republic of the Congo, Iraq, Syria, Afghanistan, Colombia, and South Sudan.</w:t>
            </w:r>
          </w:p>
        </w:tc>
        <w:tc>
          <w:tcPr>
            <w:tcW w:w="4788" w:type="dxa"/>
          </w:tcPr>
          <w:p w:rsidR="00E40112" w:rsidRDefault="00B066B9" w:rsidP="00D7242B">
            <w:pPr>
              <w:pStyle w:val="lbexindentparagraph"/>
              <w:rPr>
                <w:i/>
                <w:color w:val="333333"/>
                <w:sz w:val="22"/>
                <w:szCs w:val="22"/>
              </w:rPr>
            </w:pPr>
            <w:r>
              <w:rPr>
                <w:i/>
                <w:color w:val="333333"/>
                <w:sz w:val="22"/>
                <w:szCs w:val="22"/>
              </w:rPr>
              <w:t>One-sided and misleading.</w:t>
            </w:r>
          </w:p>
          <w:p w:rsidR="00690C04" w:rsidRPr="00690C04" w:rsidRDefault="00690C04" w:rsidP="00690C04">
            <w:pPr>
              <w:pStyle w:val="lbexindentparagraph"/>
              <w:rPr>
                <w:color w:val="333333"/>
                <w:sz w:val="22"/>
                <w:szCs w:val="22"/>
              </w:rPr>
            </w:pPr>
            <w:r>
              <w:rPr>
                <w:color w:val="333333"/>
                <w:sz w:val="22"/>
                <w:szCs w:val="22"/>
              </w:rPr>
              <w:t>During times of war, civilian men and women are both victimized, in a variety of ways.</w:t>
            </w:r>
          </w:p>
        </w:tc>
      </w:tr>
      <w:tr w:rsidR="00E40112" w:rsidTr="00D7242B">
        <w:tc>
          <w:tcPr>
            <w:tcW w:w="648" w:type="dxa"/>
          </w:tcPr>
          <w:p w:rsidR="00E40112" w:rsidRDefault="00E40112" w:rsidP="00B1707E">
            <w:pPr>
              <w:pStyle w:val="lbexindentparagraph"/>
              <w:jc w:val="center"/>
              <w:rPr>
                <w:rFonts w:ascii="Times" w:hAnsi="Times" w:cs="Times"/>
                <w:color w:val="333333"/>
              </w:rPr>
            </w:pPr>
          </w:p>
        </w:tc>
        <w:tc>
          <w:tcPr>
            <w:tcW w:w="4140" w:type="dxa"/>
          </w:tcPr>
          <w:p w:rsidR="00E40112" w:rsidRPr="009B0828" w:rsidRDefault="00E40112" w:rsidP="00D7242B">
            <w:pPr>
              <w:pStyle w:val="lbexindentparagraph"/>
              <w:shd w:val="clear" w:color="auto" w:fill="FFFFFF"/>
              <w:rPr>
                <w:rFonts w:ascii="Times" w:hAnsi="Times" w:cs="Times"/>
                <w:color w:val="333333"/>
                <w:sz w:val="22"/>
                <w:szCs w:val="22"/>
              </w:rPr>
            </w:pPr>
            <w:r w:rsidRPr="009B0828">
              <w:rPr>
                <w:rFonts w:ascii="Times" w:hAnsi="Times" w:cs="Times"/>
                <w:color w:val="333333"/>
                <w:sz w:val="22"/>
                <w:szCs w:val="22"/>
              </w:rPr>
              <w:t>Child and forced marriage of girls—</w:t>
            </w:r>
          </w:p>
        </w:tc>
        <w:tc>
          <w:tcPr>
            <w:tcW w:w="4788" w:type="dxa"/>
          </w:tcPr>
          <w:p w:rsidR="00E40112" w:rsidRPr="009B0828" w:rsidRDefault="00E40112" w:rsidP="00D7242B">
            <w:pPr>
              <w:pStyle w:val="lbexindentparagraph"/>
              <w:rPr>
                <w:color w:val="333333"/>
                <w:sz w:val="22"/>
                <w:szCs w:val="22"/>
              </w:rPr>
            </w:pPr>
          </w:p>
        </w:tc>
      </w:tr>
      <w:tr w:rsidR="00E40112" w:rsidTr="00D7242B">
        <w:tc>
          <w:tcPr>
            <w:tcW w:w="648" w:type="dxa"/>
          </w:tcPr>
          <w:p w:rsidR="00E40112" w:rsidRDefault="00B1707E" w:rsidP="00B1707E">
            <w:pPr>
              <w:pStyle w:val="lbexindentparagraph"/>
              <w:jc w:val="center"/>
              <w:rPr>
                <w:rFonts w:ascii="Times" w:hAnsi="Times" w:cs="Times"/>
                <w:color w:val="333333"/>
              </w:rPr>
            </w:pPr>
            <w:r>
              <w:rPr>
                <w:rFonts w:ascii="Times" w:hAnsi="Times" w:cs="Times"/>
                <w:color w:val="333333"/>
              </w:rPr>
              <w:t>15</w:t>
            </w:r>
          </w:p>
        </w:tc>
        <w:tc>
          <w:tcPr>
            <w:tcW w:w="4140" w:type="dxa"/>
          </w:tcPr>
          <w:p w:rsidR="00E40112" w:rsidRPr="009B0828" w:rsidRDefault="00E40112" w:rsidP="00D7242B">
            <w:pPr>
              <w:pStyle w:val="lbexindentsubpar"/>
              <w:shd w:val="clear" w:color="auto" w:fill="FFFFFF"/>
              <w:rPr>
                <w:rFonts w:ascii="Times" w:hAnsi="Times" w:cs="Times"/>
                <w:color w:val="333333"/>
                <w:sz w:val="22"/>
                <w:szCs w:val="22"/>
              </w:rPr>
            </w:pPr>
            <w:r w:rsidRPr="009B0828">
              <w:rPr>
                <w:rFonts w:ascii="Times" w:hAnsi="Times" w:cs="Times"/>
                <w:color w:val="333333"/>
                <w:sz w:val="22"/>
                <w:szCs w:val="22"/>
              </w:rPr>
              <w:t>(A) is a harmful practice that deprives girls of their dignity and rights and creates barriers to development for communities and countries;</w:t>
            </w:r>
          </w:p>
        </w:tc>
        <w:tc>
          <w:tcPr>
            <w:tcW w:w="4788" w:type="dxa"/>
          </w:tcPr>
          <w:p w:rsidR="00E40112" w:rsidRDefault="006F6988" w:rsidP="00D7242B">
            <w:pPr>
              <w:pStyle w:val="lbexindentparagraph"/>
              <w:rPr>
                <w:i/>
                <w:color w:val="333333"/>
                <w:sz w:val="22"/>
                <w:szCs w:val="22"/>
              </w:rPr>
            </w:pPr>
            <w:r>
              <w:rPr>
                <w:i/>
                <w:color w:val="333333"/>
                <w:sz w:val="22"/>
                <w:szCs w:val="22"/>
              </w:rPr>
              <w:t>Correct.</w:t>
            </w:r>
          </w:p>
          <w:p w:rsidR="00DB1E0E" w:rsidRPr="00DB1E0E" w:rsidRDefault="00DB1E0E" w:rsidP="00DB1E0E">
            <w:pPr>
              <w:pStyle w:val="lbexindentparagraph"/>
              <w:rPr>
                <w:color w:val="333333"/>
                <w:sz w:val="22"/>
                <w:szCs w:val="22"/>
              </w:rPr>
            </w:pPr>
            <w:r>
              <w:rPr>
                <w:color w:val="333333"/>
                <w:sz w:val="22"/>
                <w:szCs w:val="22"/>
              </w:rPr>
              <w:t xml:space="preserve">See the </w:t>
            </w:r>
            <w:r>
              <w:rPr>
                <w:sz w:val="20"/>
                <w:szCs w:val="20"/>
              </w:rPr>
              <w:t>United Nations Population Fund report, Marrying Too Young.</w:t>
            </w:r>
            <w:r>
              <w:rPr>
                <w:rStyle w:val="EndnoteReference"/>
                <w:sz w:val="20"/>
                <w:szCs w:val="20"/>
              </w:rPr>
              <w:endnoteReference w:id="14"/>
            </w:r>
          </w:p>
        </w:tc>
      </w:tr>
      <w:tr w:rsidR="00E40112" w:rsidTr="00D7242B">
        <w:tc>
          <w:tcPr>
            <w:tcW w:w="648" w:type="dxa"/>
          </w:tcPr>
          <w:p w:rsidR="00E40112" w:rsidRDefault="00B1707E" w:rsidP="00B1707E">
            <w:pPr>
              <w:pStyle w:val="lbexindentparagraph"/>
              <w:jc w:val="center"/>
              <w:rPr>
                <w:rFonts w:ascii="Times" w:hAnsi="Times" w:cs="Times"/>
                <w:color w:val="333333"/>
              </w:rPr>
            </w:pPr>
            <w:r>
              <w:rPr>
                <w:rFonts w:ascii="Times" w:hAnsi="Times" w:cs="Times"/>
                <w:color w:val="333333"/>
              </w:rPr>
              <w:t>16</w:t>
            </w:r>
          </w:p>
        </w:tc>
        <w:tc>
          <w:tcPr>
            <w:tcW w:w="4140" w:type="dxa"/>
          </w:tcPr>
          <w:p w:rsidR="00E40112" w:rsidRPr="009B0828" w:rsidRDefault="00E40112" w:rsidP="00D7242B">
            <w:pPr>
              <w:pStyle w:val="lbexindentsubpar"/>
              <w:shd w:val="clear" w:color="auto" w:fill="FFFFFF"/>
              <w:rPr>
                <w:rFonts w:ascii="Times" w:hAnsi="Times" w:cs="Times"/>
                <w:color w:val="333333"/>
                <w:sz w:val="22"/>
                <w:szCs w:val="22"/>
              </w:rPr>
            </w:pPr>
            <w:r w:rsidRPr="009B0828">
              <w:rPr>
                <w:rFonts w:ascii="Times" w:hAnsi="Times" w:cs="Times"/>
                <w:color w:val="333333"/>
                <w:sz w:val="22"/>
                <w:szCs w:val="22"/>
              </w:rPr>
              <w:t>(B) is projected to affect more than 140,000,000 girls who will become brides between 2011 and 2020;</w:t>
            </w:r>
          </w:p>
        </w:tc>
        <w:tc>
          <w:tcPr>
            <w:tcW w:w="4788" w:type="dxa"/>
          </w:tcPr>
          <w:p w:rsidR="00F35C61" w:rsidRPr="00F35C61" w:rsidRDefault="00F35C61" w:rsidP="00D7242B">
            <w:pPr>
              <w:pStyle w:val="lbexindentparagraph"/>
              <w:rPr>
                <w:i/>
                <w:color w:val="333333"/>
                <w:sz w:val="22"/>
                <w:szCs w:val="22"/>
              </w:rPr>
            </w:pPr>
            <w:r w:rsidRPr="00F35C61">
              <w:rPr>
                <w:i/>
                <w:color w:val="333333"/>
                <w:sz w:val="22"/>
                <w:szCs w:val="22"/>
              </w:rPr>
              <w:t>False</w:t>
            </w:r>
            <w:r w:rsidR="006F6988">
              <w:rPr>
                <w:i/>
                <w:color w:val="333333"/>
                <w:sz w:val="22"/>
                <w:szCs w:val="22"/>
              </w:rPr>
              <w:t>.</w:t>
            </w:r>
          </w:p>
          <w:p w:rsidR="00E40112" w:rsidRDefault="00F35C61" w:rsidP="00D7242B">
            <w:pPr>
              <w:pStyle w:val="lbexindentparagraph"/>
              <w:rPr>
                <w:color w:val="333333"/>
                <w:sz w:val="22"/>
                <w:szCs w:val="22"/>
              </w:rPr>
            </w:pPr>
            <w:r>
              <w:rPr>
                <w:color w:val="333333"/>
                <w:sz w:val="22"/>
                <w:szCs w:val="22"/>
              </w:rPr>
              <w:t>The 140,000,000 number comes from a</w:t>
            </w:r>
            <w:r w:rsidR="00164A69">
              <w:rPr>
                <w:color w:val="333333"/>
                <w:sz w:val="22"/>
                <w:szCs w:val="22"/>
              </w:rPr>
              <w:t>n outdated</w:t>
            </w:r>
            <w:r>
              <w:rPr>
                <w:color w:val="333333"/>
                <w:sz w:val="22"/>
                <w:szCs w:val="22"/>
              </w:rPr>
              <w:t xml:space="preserve"> 2013 United Nations press releas</w:t>
            </w:r>
            <w:r w:rsidR="00164A69">
              <w:rPr>
                <w:color w:val="333333"/>
                <w:sz w:val="22"/>
                <w:szCs w:val="22"/>
              </w:rPr>
              <w:t xml:space="preserve">e that </w:t>
            </w:r>
            <w:r w:rsidR="00DB1E0E">
              <w:rPr>
                <w:color w:val="333333"/>
                <w:sz w:val="22"/>
                <w:szCs w:val="22"/>
              </w:rPr>
              <w:t>was later</w:t>
            </w:r>
            <w:r w:rsidR="00164A69">
              <w:rPr>
                <w:color w:val="333333"/>
                <w:sz w:val="22"/>
                <w:szCs w:val="22"/>
              </w:rPr>
              <w:t xml:space="preserve"> removed</w:t>
            </w:r>
            <w:r w:rsidR="00B94905">
              <w:rPr>
                <w:color w:val="333333"/>
                <w:sz w:val="22"/>
                <w:szCs w:val="22"/>
              </w:rPr>
              <w:t xml:space="preserve"> from its website</w:t>
            </w:r>
            <w:r w:rsidR="00164A69">
              <w:rPr>
                <w:color w:val="333333"/>
                <w:sz w:val="22"/>
                <w:szCs w:val="22"/>
              </w:rPr>
              <w:t>.</w:t>
            </w:r>
            <w:r w:rsidR="00164A69">
              <w:rPr>
                <w:rStyle w:val="EndnoteReference"/>
                <w:color w:val="333333"/>
                <w:sz w:val="22"/>
                <w:szCs w:val="22"/>
              </w:rPr>
              <w:endnoteReference w:id="15"/>
            </w:r>
          </w:p>
          <w:p w:rsidR="00F35C61" w:rsidRPr="009B0828" w:rsidRDefault="00F35C61" w:rsidP="00164A69">
            <w:pPr>
              <w:pStyle w:val="lbexindentparagraph"/>
              <w:rPr>
                <w:color w:val="333333"/>
                <w:sz w:val="22"/>
                <w:szCs w:val="22"/>
              </w:rPr>
            </w:pPr>
            <w:r>
              <w:rPr>
                <w:color w:val="333333"/>
                <w:sz w:val="22"/>
                <w:szCs w:val="22"/>
              </w:rPr>
              <w:t>The United Nations Population Fund has projected the</w:t>
            </w:r>
            <w:r w:rsidR="00661BDA">
              <w:rPr>
                <w:color w:val="333333"/>
                <w:sz w:val="22"/>
                <w:szCs w:val="22"/>
              </w:rPr>
              <w:t xml:space="preserve"> projected</w:t>
            </w:r>
            <w:r>
              <w:rPr>
                <w:color w:val="333333"/>
                <w:sz w:val="22"/>
                <w:szCs w:val="22"/>
              </w:rPr>
              <w:t xml:space="preserve"> number to </w:t>
            </w:r>
            <w:r w:rsidR="00164A69">
              <w:rPr>
                <w:color w:val="333333"/>
                <w:sz w:val="22"/>
                <w:szCs w:val="22"/>
              </w:rPr>
              <w:t xml:space="preserve">be 50 million, not 140 million: “While child marriages are </w:t>
            </w:r>
            <w:r w:rsidR="00164A69" w:rsidRPr="00164A69">
              <w:rPr>
                <w:color w:val="333333"/>
                <w:sz w:val="22"/>
                <w:szCs w:val="22"/>
              </w:rPr>
              <w:t xml:space="preserve">declining among girls under age 15, 50 million girls could still be </w:t>
            </w:r>
            <w:r w:rsidR="00164A69">
              <w:rPr>
                <w:color w:val="333333"/>
                <w:sz w:val="22"/>
                <w:szCs w:val="22"/>
              </w:rPr>
              <w:t xml:space="preserve">at risk of being married before </w:t>
            </w:r>
            <w:r w:rsidR="00164A69" w:rsidRPr="00164A69">
              <w:rPr>
                <w:color w:val="333333"/>
                <w:sz w:val="22"/>
                <w:szCs w:val="22"/>
              </w:rPr>
              <w:t>their 15th birthday in this decade.</w:t>
            </w:r>
            <w:r w:rsidR="00164A69">
              <w:rPr>
                <w:rStyle w:val="EndnoteReference"/>
                <w:color w:val="333333"/>
                <w:sz w:val="22"/>
                <w:szCs w:val="22"/>
              </w:rPr>
              <w:t>”</w:t>
            </w:r>
            <w:r w:rsidR="00164A69">
              <w:rPr>
                <w:rStyle w:val="EndnoteReference"/>
                <w:color w:val="333333"/>
                <w:sz w:val="22"/>
                <w:szCs w:val="22"/>
              </w:rPr>
              <w:endnoteReference w:id="16"/>
            </w:r>
          </w:p>
        </w:tc>
      </w:tr>
      <w:tr w:rsidR="00E40112" w:rsidTr="00D7242B">
        <w:tc>
          <w:tcPr>
            <w:tcW w:w="648" w:type="dxa"/>
          </w:tcPr>
          <w:p w:rsidR="00E40112" w:rsidRDefault="00B1707E" w:rsidP="00B1707E">
            <w:pPr>
              <w:pStyle w:val="lbexindentparagraph"/>
              <w:jc w:val="center"/>
              <w:rPr>
                <w:rFonts w:ascii="Times" w:hAnsi="Times" w:cs="Times"/>
                <w:color w:val="333333"/>
              </w:rPr>
            </w:pPr>
            <w:r>
              <w:rPr>
                <w:rFonts w:ascii="Times" w:hAnsi="Times" w:cs="Times"/>
                <w:color w:val="333333"/>
              </w:rPr>
              <w:t>17</w:t>
            </w:r>
          </w:p>
        </w:tc>
        <w:tc>
          <w:tcPr>
            <w:tcW w:w="4140" w:type="dxa"/>
          </w:tcPr>
          <w:p w:rsidR="00E40112" w:rsidRPr="009B0828" w:rsidRDefault="00E40112" w:rsidP="00D7242B">
            <w:pPr>
              <w:pStyle w:val="lbexindentparagraph"/>
              <w:rPr>
                <w:rFonts w:ascii="Times" w:hAnsi="Times" w:cs="Times"/>
                <w:color w:val="333333"/>
                <w:sz w:val="22"/>
                <w:szCs w:val="22"/>
              </w:rPr>
            </w:pPr>
            <w:r w:rsidRPr="009B0828">
              <w:rPr>
                <w:rFonts w:ascii="Times" w:hAnsi="Times" w:cs="Times"/>
                <w:color w:val="333333"/>
                <w:sz w:val="22"/>
                <w:szCs w:val="22"/>
              </w:rPr>
              <w:t>(C) can prematurely end girls’ education, increase vulnerability to gender-based violence, and significantly raise the risk of maternal and infant morbidity or mortality, including the risk of obstetric fistula and sexually transmitted diseases, including HIV/AIDS; and</w:t>
            </w:r>
          </w:p>
        </w:tc>
        <w:tc>
          <w:tcPr>
            <w:tcW w:w="4788" w:type="dxa"/>
          </w:tcPr>
          <w:p w:rsidR="004D1754" w:rsidRDefault="006F6988" w:rsidP="00D7242B">
            <w:pPr>
              <w:pStyle w:val="lbexindentparagraph"/>
              <w:rPr>
                <w:i/>
                <w:color w:val="333333"/>
                <w:sz w:val="22"/>
                <w:szCs w:val="22"/>
              </w:rPr>
            </w:pPr>
            <w:r>
              <w:rPr>
                <w:i/>
                <w:color w:val="333333"/>
                <w:sz w:val="22"/>
                <w:szCs w:val="22"/>
              </w:rPr>
              <w:t>Correct.</w:t>
            </w:r>
          </w:p>
          <w:p w:rsidR="00F35C61" w:rsidRPr="00661BDA" w:rsidRDefault="004D1754" w:rsidP="00D7242B">
            <w:pPr>
              <w:pStyle w:val="lbexindentparagraph"/>
              <w:rPr>
                <w:i/>
                <w:color w:val="333333"/>
                <w:sz w:val="22"/>
                <w:szCs w:val="22"/>
              </w:rPr>
            </w:pPr>
            <w:r>
              <w:rPr>
                <w:color w:val="333333"/>
                <w:sz w:val="22"/>
                <w:szCs w:val="22"/>
              </w:rPr>
              <w:t>“</w:t>
            </w:r>
            <w:r w:rsidRPr="004D1754">
              <w:rPr>
                <w:color w:val="333333"/>
                <w:sz w:val="22"/>
                <w:szCs w:val="22"/>
              </w:rPr>
              <w:t>Past year physical and/or sexual IPV was higher among women who married as children (29%) compared with tho</w:t>
            </w:r>
            <w:r>
              <w:rPr>
                <w:color w:val="333333"/>
                <w:sz w:val="22"/>
                <w:szCs w:val="22"/>
              </w:rPr>
              <w:t>se who married as adults (20%).”</w:t>
            </w:r>
            <w:r w:rsidR="00661BDA" w:rsidRPr="004D1754">
              <w:rPr>
                <w:rStyle w:val="EndnoteReference"/>
                <w:color w:val="333333"/>
                <w:sz w:val="22"/>
                <w:szCs w:val="22"/>
              </w:rPr>
              <w:endnoteReference w:id="17"/>
            </w:r>
          </w:p>
        </w:tc>
      </w:tr>
      <w:tr w:rsidR="00E40112" w:rsidTr="00D7242B">
        <w:tc>
          <w:tcPr>
            <w:tcW w:w="648" w:type="dxa"/>
          </w:tcPr>
          <w:p w:rsidR="00E40112" w:rsidRDefault="00B1707E" w:rsidP="00B1707E">
            <w:pPr>
              <w:pStyle w:val="lbexindentparagraph"/>
              <w:jc w:val="center"/>
              <w:rPr>
                <w:rFonts w:ascii="Times" w:hAnsi="Times" w:cs="Times"/>
                <w:color w:val="333333"/>
              </w:rPr>
            </w:pPr>
            <w:r>
              <w:rPr>
                <w:rFonts w:ascii="Times" w:hAnsi="Times" w:cs="Times"/>
                <w:color w:val="333333"/>
              </w:rPr>
              <w:t>18</w:t>
            </w:r>
          </w:p>
        </w:tc>
        <w:tc>
          <w:tcPr>
            <w:tcW w:w="4140" w:type="dxa"/>
          </w:tcPr>
          <w:p w:rsidR="00E40112" w:rsidRPr="009B0828" w:rsidRDefault="00E40112" w:rsidP="00D7242B">
            <w:pPr>
              <w:pStyle w:val="lbexindentsubpar"/>
              <w:shd w:val="clear" w:color="auto" w:fill="FFFFFF"/>
              <w:rPr>
                <w:rFonts w:ascii="Times" w:hAnsi="Times" w:cs="Times"/>
                <w:color w:val="333333"/>
                <w:sz w:val="22"/>
                <w:szCs w:val="22"/>
              </w:rPr>
            </w:pPr>
            <w:r w:rsidRPr="009B0828">
              <w:rPr>
                <w:rFonts w:ascii="Times" w:hAnsi="Times" w:cs="Times"/>
                <w:color w:val="333333"/>
                <w:sz w:val="22"/>
                <w:szCs w:val="22"/>
              </w:rPr>
              <w:t>(D) is perpetuated by poverty, a lack of educational or employment opportunities for girls, a lack of legal policies and enforcement of laws, and religious, cultural, and social factors related to girls’ perceived lack of value, factors which become particularly acute in conflict and disaster settings where fears of sexual violence and overstretched coping mechanisms often drive child and forced marriage.</w:t>
            </w:r>
          </w:p>
        </w:tc>
        <w:tc>
          <w:tcPr>
            <w:tcW w:w="4788" w:type="dxa"/>
          </w:tcPr>
          <w:p w:rsidR="00E40112" w:rsidRPr="00661BDA" w:rsidRDefault="006F6988" w:rsidP="00D7242B">
            <w:pPr>
              <w:pStyle w:val="lbexindentparagraph"/>
              <w:rPr>
                <w:i/>
                <w:color w:val="333333"/>
                <w:sz w:val="22"/>
                <w:szCs w:val="22"/>
              </w:rPr>
            </w:pPr>
            <w:r>
              <w:rPr>
                <w:i/>
                <w:color w:val="333333"/>
                <w:sz w:val="22"/>
                <w:szCs w:val="22"/>
              </w:rPr>
              <w:t>Correct</w:t>
            </w:r>
            <w:r w:rsidR="00661BDA">
              <w:rPr>
                <w:i/>
                <w:color w:val="333333"/>
                <w:sz w:val="22"/>
                <w:szCs w:val="22"/>
              </w:rPr>
              <w:t>.</w:t>
            </w:r>
          </w:p>
        </w:tc>
      </w:tr>
      <w:tr w:rsidR="00E40112" w:rsidTr="00D7242B">
        <w:tc>
          <w:tcPr>
            <w:tcW w:w="648" w:type="dxa"/>
          </w:tcPr>
          <w:p w:rsidR="00E40112" w:rsidRDefault="00C03717" w:rsidP="00B1707E">
            <w:pPr>
              <w:pStyle w:val="lbexindentparagraph"/>
              <w:jc w:val="center"/>
              <w:rPr>
                <w:rFonts w:ascii="Times" w:hAnsi="Times" w:cs="Times"/>
                <w:color w:val="333333"/>
              </w:rPr>
            </w:pPr>
            <w:r>
              <w:rPr>
                <w:rFonts w:ascii="Times" w:hAnsi="Times" w:cs="Times"/>
                <w:color w:val="333333"/>
              </w:rPr>
              <w:t>19</w:t>
            </w:r>
          </w:p>
        </w:tc>
        <w:tc>
          <w:tcPr>
            <w:tcW w:w="4140" w:type="dxa"/>
          </w:tcPr>
          <w:p w:rsidR="00E40112" w:rsidRPr="009B0828" w:rsidRDefault="00E40112" w:rsidP="00D7242B">
            <w:pPr>
              <w:pStyle w:val="lbexindentparagraph"/>
              <w:rPr>
                <w:rFonts w:ascii="Times" w:hAnsi="Times" w:cs="Times"/>
                <w:color w:val="333333"/>
                <w:sz w:val="22"/>
                <w:szCs w:val="22"/>
              </w:rPr>
            </w:pPr>
            <w:r w:rsidRPr="009B0828">
              <w:rPr>
                <w:rFonts w:ascii="Times" w:hAnsi="Times" w:cs="Times"/>
                <w:color w:val="333333"/>
                <w:sz w:val="22"/>
                <w:szCs w:val="22"/>
              </w:rPr>
              <w:t>Female genital mutilation/cutting (FGM/C) is carried out most often on girls between infancy and 15 years of age and has impacted more than 125,000,000 girls and women who are alive today. FGM/C can cause long-term health problems, including infertility, complications in childbirth, and increased risk of newborn deaths.</w:t>
            </w:r>
          </w:p>
        </w:tc>
        <w:tc>
          <w:tcPr>
            <w:tcW w:w="4788" w:type="dxa"/>
          </w:tcPr>
          <w:p w:rsidR="00E40112" w:rsidRPr="00044B0C" w:rsidRDefault="006F6988" w:rsidP="00D7242B">
            <w:pPr>
              <w:pStyle w:val="lbexindentparagraph"/>
              <w:rPr>
                <w:i/>
                <w:color w:val="333333"/>
                <w:sz w:val="22"/>
                <w:szCs w:val="22"/>
              </w:rPr>
            </w:pPr>
            <w:r>
              <w:rPr>
                <w:i/>
                <w:color w:val="333333"/>
                <w:sz w:val="22"/>
                <w:szCs w:val="22"/>
              </w:rPr>
              <w:t>Correct</w:t>
            </w:r>
            <w:r w:rsidR="00044B0C" w:rsidRPr="00044B0C">
              <w:rPr>
                <w:i/>
                <w:color w:val="333333"/>
                <w:sz w:val="22"/>
                <w:szCs w:val="22"/>
              </w:rPr>
              <w:t xml:space="preserve">, although the cited number is </w:t>
            </w:r>
            <w:r>
              <w:rPr>
                <w:i/>
                <w:color w:val="333333"/>
                <w:sz w:val="22"/>
                <w:szCs w:val="22"/>
              </w:rPr>
              <w:t>wrong</w:t>
            </w:r>
            <w:r w:rsidR="00044B0C" w:rsidRPr="00044B0C">
              <w:rPr>
                <w:i/>
                <w:color w:val="333333"/>
                <w:sz w:val="22"/>
                <w:szCs w:val="22"/>
              </w:rPr>
              <w:t>.</w:t>
            </w:r>
          </w:p>
          <w:p w:rsidR="00044B0C" w:rsidRPr="009B0828" w:rsidRDefault="00044B0C" w:rsidP="00D7242B">
            <w:pPr>
              <w:pStyle w:val="lbexindentparagraph"/>
              <w:rPr>
                <w:color w:val="333333"/>
                <w:sz w:val="22"/>
                <w:szCs w:val="22"/>
              </w:rPr>
            </w:pPr>
            <w:r>
              <w:rPr>
                <w:color w:val="333333"/>
                <w:sz w:val="22"/>
                <w:szCs w:val="22"/>
              </w:rPr>
              <w:t>According to the World Health Organization, “</w:t>
            </w:r>
            <w:r w:rsidRPr="00044B0C">
              <w:rPr>
                <w:color w:val="333333"/>
                <w:sz w:val="22"/>
                <w:szCs w:val="22"/>
              </w:rPr>
              <w:t>More than 200 million girls and women alive today have been cut in 30 countries in Africa, the Middle East and Asia where FGM is concentrated</w:t>
            </w:r>
            <w:r>
              <w:rPr>
                <w:color w:val="333333"/>
                <w:sz w:val="22"/>
                <w:szCs w:val="22"/>
              </w:rPr>
              <w:t>.”</w:t>
            </w:r>
            <w:r>
              <w:rPr>
                <w:rStyle w:val="EndnoteReference"/>
                <w:color w:val="333333"/>
                <w:sz w:val="22"/>
                <w:szCs w:val="22"/>
              </w:rPr>
              <w:endnoteReference w:id="18"/>
            </w:r>
          </w:p>
        </w:tc>
      </w:tr>
      <w:tr w:rsidR="00E40112" w:rsidTr="00D7242B">
        <w:tc>
          <w:tcPr>
            <w:tcW w:w="648" w:type="dxa"/>
          </w:tcPr>
          <w:p w:rsidR="00E40112" w:rsidRDefault="00C03717" w:rsidP="00B1707E">
            <w:pPr>
              <w:pStyle w:val="lbexindentparagraph"/>
              <w:jc w:val="center"/>
              <w:rPr>
                <w:rFonts w:ascii="Times" w:hAnsi="Times" w:cs="Times"/>
                <w:color w:val="333333"/>
              </w:rPr>
            </w:pPr>
            <w:r>
              <w:rPr>
                <w:rFonts w:ascii="Times" w:hAnsi="Times" w:cs="Times"/>
                <w:color w:val="333333"/>
              </w:rPr>
              <w:t>20</w:t>
            </w:r>
          </w:p>
        </w:tc>
        <w:tc>
          <w:tcPr>
            <w:tcW w:w="4140" w:type="dxa"/>
          </w:tcPr>
          <w:p w:rsidR="00E40112" w:rsidRPr="009B0828" w:rsidRDefault="00E40112" w:rsidP="00D7242B">
            <w:pPr>
              <w:pStyle w:val="lbexindentparagraph"/>
              <w:shd w:val="clear" w:color="auto" w:fill="FFFFFF"/>
              <w:rPr>
                <w:rFonts w:ascii="Times" w:hAnsi="Times" w:cs="Times"/>
                <w:color w:val="333333"/>
                <w:sz w:val="22"/>
                <w:szCs w:val="22"/>
              </w:rPr>
            </w:pPr>
            <w:r w:rsidRPr="009B0828">
              <w:rPr>
                <w:rFonts w:ascii="Times" w:hAnsi="Times" w:cs="Times"/>
                <w:color w:val="333333"/>
                <w:sz w:val="22"/>
                <w:szCs w:val="22"/>
              </w:rPr>
              <w:t xml:space="preserve">World Bank data shows that gender inequality directly corresponds to increased levels of political and economic instability within states. Gender-based violence impedes women’s meaningful participation in social, political, and economic spheres, which is essential to the stability and </w:t>
            </w:r>
            <w:r w:rsidRPr="009B0828">
              <w:rPr>
                <w:rFonts w:ascii="Times" w:hAnsi="Times" w:cs="Times"/>
                <w:color w:val="333333"/>
                <w:sz w:val="22"/>
                <w:szCs w:val="22"/>
              </w:rPr>
              <w:lastRenderedPageBreak/>
              <w:t>democratization of a country. Since women disproportionately experience gender-based violence during conflict and post-conflict reconstruction, they can play a pivotal role in preventing, mitigating, and resolving conflict, and countering extremism.</w:t>
            </w:r>
          </w:p>
        </w:tc>
        <w:tc>
          <w:tcPr>
            <w:tcW w:w="4788" w:type="dxa"/>
          </w:tcPr>
          <w:p w:rsidR="00E40112" w:rsidRPr="009B0828" w:rsidRDefault="00DB6387" w:rsidP="00D7242B">
            <w:pPr>
              <w:rPr>
                <w:rFonts w:ascii="Times New Roman" w:hAnsi="Times New Roman" w:cs="Times New Roman"/>
                <w:i/>
              </w:rPr>
            </w:pPr>
            <w:r>
              <w:rPr>
                <w:rFonts w:ascii="Times New Roman" w:hAnsi="Times New Roman" w:cs="Times New Roman"/>
                <w:i/>
              </w:rPr>
              <w:lastRenderedPageBreak/>
              <w:t>F</w:t>
            </w:r>
            <w:r w:rsidR="0042365E">
              <w:rPr>
                <w:rFonts w:ascii="Times New Roman" w:hAnsi="Times New Roman" w:cs="Times New Roman"/>
                <w:i/>
              </w:rPr>
              <w:t>alse.</w:t>
            </w:r>
          </w:p>
          <w:p w:rsidR="008D79B2" w:rsidRDefault="00661BDA" w:rsidP="0042365E">
            <w:pPr>
              <w:pStyle w:val="lbexindentparagraph"/>
              <w:rPr>
                <w:sz w:val="22"/>
                <w:szCs w:val="22"/>
              </w:rPr>
            </w:pPr>
            <w:r>
              <w:rPr>
                <w:sz w:val="22"/>
                <w:szCs w:val="22"/>
              </w:rPr>
              <w:t>The World Bank</w:t>
            </w:r>
            <w:r w:rsidR="008D79B2">
              <w:rPr>
                <w:sz w:val="22"/>
                <w:szCs w:val="22"/>
              </w:rPr>
              <w:t xml:space="preserve"> Group’s</w:t>
            </w:r>
            <w:r>
              <w:rPr>
                <w:sz w:val="22"/>
                <w:szCs w:val="22"/>
              </w:rPr>
              <w:t xml:space="preserve"> report, </w:t>
            </w:r>
            <w:r w:rsidR="009C2292">
              <w:rPr>
                <w:sz w:val="22"/>
                <w:szCs w:val="22"/>
              </w:rPr>
              <w:t xml:space="preserve">Gender Equality, Poverty Reduction, and Inclusive Growth, is filled with </w:t>
            </w:r>
            <w:r w:rsidR="000059B1">
              <w:rPr>
                <w:sz w:val="22"/>
                <w:szCs w:val="22"/>
              </w:rPr>
              <w:t xml:space="preserve">one-sided, </w:t>
            </w:r>
            <w:r w:rsidR="009C2292">
              <w:rPr>
                <w:sz w:val="22"/>
                <w:szCs w:val="22"/>
              </w:rPr>
              <w:t xml:space="preserve">sweeping </w:t>
            </w:r>
            <w:r w:rsidR="008D79B2">
              <w:rPr>
                <w:sz w:val="22"/>
                <w:szCs w:val="22"/>
              </w:rPr>
              <w:t xml:space="preserve">generalizations. These </w:t>
            </w:r>
            <w:r w:rsidR="008D79B2">
              <w:rPr>
                <w:sz w:val="22"/>
                <w:szCs w:val="22"/>
              </w:rPr>
              <w:lastRenderedPageBreak/>
              <w:t xml:space="preserve">are three of many of such statements that are made without any supporting </w:t>
            </w:r>
            <w:r w:rsidR="000059B1">
              <w:rPr>
                <w:sz w:val="22"/>
                <w:szCs w:val="22"/>
              </w:rPr>
              <w:t>citations</w:t>
            </w:r>
            <w:r w:rsidR="008D79B2">
              <w:rPr>
                <w:sz w:val="22"/>
                <w:szCs w:val="22"/>
              </w:rPr>
              <w:t>:</w:t>
            </w:r>
            <w:r w:rsidR="009C2292">
              <w:rPr>
                <w:sz w:val="22"/>
                <w:szCs w:val="22"/>
              </w:rPr>
              <w:t xml:space="preserve"> </w:t>
            </w:r>
          </w:p>
          <w:p w:rsidR="008D79B2" w:rsidRDefault="0042365E" w:rsidP="008D79B2">
            <w:pPr>
              <w:pStyle w:val="lbexindentparagraph"/>
              <w:numPr>
                <w:ilvl w:val="0"/>
                <w:numId w:val="1"/>
              </w:numPr>
              <w:rPr>
                <w:sz w:val="22"/>
                <w:szCs w:val="22"/>
              </w:rPr>
            </w:pPr>
            <w:r>
              <w:rPr>
                <w:sz w:val="22"/>
                <w:szCs w:val="22"/>
              </w:rPr>
              <w:t>“No society can develop sustainably without transforming the distribution of opportunities, resources, and choices fo</w:t>
            </w:r>
            <w:r w:rsidR="00B1707E">
              <w:rPr>
                <w:sz w:val="22"/>
                <w:szCs w:val="22"/>
              </w:rPr>
              <w:t>r males and females” (page 11)</w:t>
            </w:r>
          </w:p>
          <w:p w:rsidR="008D79B2" w:rsidRDefault="008D79B2" w:rsidP="008D79B2">
            <w:pPr>
              <w:pStyle w:val="lbexindentparagraph"/>
              <w:numPr>
                <w:ilvl w:val="0"/>
                <w:numId w:val="1"/>
              </w:numPr>
              <w:rPr>
                <w:sz w:val="22"/>
                <w:szCs w:val="22"/>
              </w:rPr>
            </w:pPr>
            <w:r>
              <w:rPr>
                <w:sz w:val="22"/>
                <w:szCs w:val="22"/>
              </w:rPr>
              <w:t>“Gender disparities in [conflict-affected situations] reflect norms and dynamics that entrench inequalities and factors of exclusion that perpetuate conflict and instability”</w:t>
            </w:r>
            <w:r w:rsidR="00B1707E">
              <w:rPr>
                <w:sz w:val="22"/>
                <w:szCs w:val="22"/>
              </w:rPr>
              <w:t xml:space="preserve"> (page 19)</w:t>
            </w:r>
          </w:p>
          <w:p w:rsidR="008D79B2" w:rsidRDefault="009C2292" w:rsidP="008D79B2">
            <w:pPr>
              <w:pStyle w:val="lbexindentparagraph"/>
              <w:numPr>
                <w:ilvl w:val="0"/>
                <w:numId w:val="1"/>
              </w:numPr>
              <w:rPr>
                <w:sz w:val="22"/>
                <w:szCs w:val="22"/>
              </w:rPr>
            </w:pPr>
            <w:r>
              <w:rPr>
                <w:sz w:val="22"/>
                <w:szCs w:val="22"/>
              </w:rPr>
              <w:t>“violence against women and girls continues to be among the most egregious and commonly experienced abuses of women</w:t>
            </w:r>
            <w:r w:rsidR="0042365E">
              <w:rPr>
                <w:sz w:val="22"/>
                <w:szCs w:val="22"/>
              </w:rPr>
              <w:t>’s rights</w:t>
            </w:r>
            <w:r>
              <w:rPr>
                <w:sz w:val="22"/>
                <w:szCs w:val="22"/>
              </w:rPr>
              <w:t>” (page 19)</w:t>
            </w:r>
            <w:r>
              <w:rPr>
                <w:rStyle w:val="EndnoteReference"/>
                <w:sz w:val="22"/>
                <w:szCs w:val="22"/>
              </w:rPr>
              <w:endnoteReference w:id="19"/>
            </w:r>
            <w:r w:rsidR="0042365E">
              <w:rPr>
                <w:sz w:val="22"/>
                <w:szCs w:val="22"/>
              </w:rPr>
              <w:t xml:space="preserve"> </w:t>
            </w:r>
          </w:p>
          <w:p w:rsidR="00DB1E0E" w:rsidRDefault="00FB3611" w:rsidP="0042365E">
            <w:pPr>
              <w:pStyle w:val="lbexindentparagraph"/>
              <w:rPr>
                <w:sz w:val="22"/>
                <w:szCs w:val="22"/>
              </w:rPr>
            </w:pPr>
            <w:r>
              <w:rPr>
                <w:sz w:val="22"/>
                <w:szCs w:val="22"/>
              </w:rPr>
              <w:t xml:space="preserve">The document decries the existence of “gender wage gaps,” even though </w:t>
            </w:r>
            <w:r w:rsidR="00DB1E0E">
              <w:rPr>
                <w:sz w:val="22"/>
                <w:szCs w:val="22"/>
              </w:rPr>
              <w:t>the claim</w:t>
            </w:r>
            <w:r>
              <w:rPr>
                <w:sz w:val="22"/>
                <w:szCs w:val="22"/>
              </w:rPr>
              <w:t xml:space="preserve"> </w:t>
            </w:r>
            <w:r w:rsidR="00DB1E0E">
              <w:rPr>
                <w:sz w:val="22"/>
                <w:szCs w:val="22"/>
              </w:rPr>
              <w:t>has</w:t>
            </w:r>
            <w:r>
              <w:rPr>
                <w:sz w:val="22"/>
                <w:szCs w:val="22"/>
              </w:rPr>
              <w:t xml:space="preserve"> been </w:t>
            </w:r>
            <w:r w:rsidR="00DB1E0E">
              <w:rPr>
                <w:sz w:val="22"/>
                <w:szCs w:val="22"/>
              </w:rPr>
              <w:t xml:space="preserve">repeatedly </w:t>
            </w:r>
            <w:r>
              <w:rPr>
                <w:sz w:val="22"/>
                <w:szCs w:val="22"/>
              </w:rPr>
              <w:t>refuted</w:t>
            </w:r>
            <w:r w:rsidR="005F3CC0">
              <w:rPr>
                <w:sz w:val="22"/>
                <w:szCs w:val="22"/>
              </w:rPr>
              <w:t xml:space="preserve"> when sex</w:t>
            </w:r>
            <w:r w:rsidR="00DB1E0E">
              <w:rPr>
                <w:sz w:val="22"/>
                <w:szCs w:val="22"/>
              </w:rPr>
              <w:t>-specific</w:t>
            </w:r>
            <w:r w:rsidR="005F3CC0">
              <w:rPr>
                <w:sz w:val="22"/>
                <w:szCs w:val="22"/>
              </w:rPr>
              <w:t xml:space="preserve"> differences in training, experience, hours worked and other factors are taken into consideration</w:t>
            </w:r>
            <w:r>
              <w:rPr>
                <w:sz w:val="22"/>
                <w:szCs w:val="22"/>
              </w:rPr>
              <w:t>.</w:t>
            </w:r>
            <w:r w:rsidR="000059B1">
              <w:rPr>
                <w:sz w:val="22"/>
                <w:szCs w:val="22"/>
              </w:rPr>
              <w:t xml:space="preserve"> </w:t>
            </w:r>
            <w:r>
              <w:rPr>
                <w:sz w:val="22"/>
                <w:szCs w:val="22"/>
              </w:rPr>
              <w:t>The document’s references consist almost entirely of position papers, not peer-reviewed</w:t>
            </w:r>
            <w:r w:rsidR="008D79B2">
              <w:rPr>
                <w:sz w:val="22"/>
                <w:szCs w:val="22"/>
              </w:rPr>
              <w:t xml:space="preserve"> scientific</w:t>
            </w:r>
            <w:r>
              <w:rPr>
                <w:sz w:val="22"/>
                <w:szCs w:val="22"/>
              </w:rPr>
              <w:t xml:space="preserve"> research. </w:t>
            </w:r>
          </w:p>
          <w:p w:rsidR="0042365E" w:rsidRPr="000B22B7" w:rsidRDefault="0042365E" w:rsidP="0042365E">
            <w:pPr>
              <w:pStyle w:val="lbexindentparagraph"/>
              <w:rPr>
                <w:sz w:val="22"/>
                <w:szCs w:val="22"/>
              </w:rPr>
            </w:pPr>
            <w:r>
              <w:rPr>
                <w:sz w:val="22"/>
                <w:szCs w:val="22"/>
              </w:rPr>
              <w:t xml:space="preserve">The </w:t>
            </w:r>
            <w:r w:rsidR="005F3CC0">
              <w:rPr>
                <w:sz w:val="22"/>
                <w:szCs w:val="22"/>
              </w:rPr>
              <w:t xml:space="preserve">World Bank </w:t>
            </w:r>
            <w:r w:rsidR="00164A69">
              <w:rPr>
                <w:sz w:val="22"/>
                <w:szCs w:val="22"/>
              </w:rPr>
              <w:t xml:space="preserve">document is best </w:t>
            </w:r>
            <w:r w:rsidR="005F3CC0">
              <w:rPr>
                <w:sz w:val="22"/>
                <w:szCs w:val="22"/>
              </w:rPr>
              <w:t>viewed</w:t>
            </w:r>
            <w:r>
              <w:rPr>
                <w:sz w:val="22"/>
                <w:szCs w:val="22"/>
              </w:rPr>
              <w:t xml:space="preserve"> as a</w:t>
            </w:r>
            <w:r w:rsidR="00EF2F7A">
              <w:rPr>
                <w:sz w:val="22"/>
                <w:szCs w:val="22"/>
              </w:rPr>
              <w:t>n ideologic</w:t>
            </w:r>
            <w:r w:rsidR="008D79B2">
              <w:rPr>
                <w:sz w:val="22"/>
                <w:szCs w:val="22"/>
              </w:rPr>
              <w:t>al manifesto</w:t>
            </w:r>
            <w:r>
              <w:rPr>
                <w:sz w:val="22"/>
                <w:szCs w:val="22"/>
              </w:rPr>
              <w:t>.</w:t>
            </w:r>
            <w:r w:rsidR="00DB1E0E">
              <w:rPr>
                <w:sz w:val="22"/>
                <w:szCs w:val="22"/>
              </w:rPr>
              <w:t xml:space="preserve"> </w:t>
            </w:r>
            <w:r w:rsidR="008D79B2" w:rsidRPr="009B0828">
              <w:rPr>
                <w:color w:val="000000"/>
                <w:sz w:val="22"/>
                <w:szCs w:val="22"/>
              </w:rPr>
              <w:t>A comprehensive research summary concluded, “a nation’s gender inequality level…was not predictive of either male or female perpetrated physical partner abuse.”</w:t>
            </w:r>
            <w:r w:rsidR="008D79B2" w:rsidRPr="009B0828">
              <w:rPr>
                <w:rStyle w:val="EndnoteReference"/>
                <w:sz w:val="22"/>
                <w:szCs w:val="22"/>
              </w:rPr>
              <w:t xml:space="preserve"> </w:t>
            </w:r>
            <w:r w:rsidR="008D79B2" w:rsidRPr="009B0828">
              <w:rPr>
                <w:rStyle w:val="EndnoteReference"/>
                <w:sz w:val="22"/>
                <w:szCs w:val="22"/>
              </w:rPr>
              <w:endnoteReference w:id="20"/>
            </w:r>
          </w:p>
        </w:tc>
      </w:tr>
      <w:tr w:rsidR="00E40112" w:rsidTr="00D7242B">
        <w:tc>
          <w:tcPr>
            <w:tcW w:w="648" w:type="dxa"/>
          </w:tcPr>
          <w:p w:rsidR="00E40112" w:rsidRDefault="00C03717" w:rsidP="00B1707E">
            <w:pPr>
              <w:pStyle w:val="lbexindentparagraph"/>
              <w:jc w:val="center"/>
              <w:rPr>
                <w:rFonts w:ascii="Times" w:hAnsi="Times" w:cs="Times"/>
                <w:color w:val="333333"/>
              </w:rPr>
            </w:pPr>
            <w:r>
              <w:rPr>
                <w:rFonts w:ascii="Times" w:hAnsi="Times" w:cs="Times"/>
                <w:color w:val="333333"/>
              </w:rPr>
              <w:lastRenderedPageBreak/>
              <w:t>21</w:t>
            </w:r>
          </w:p>
        </w:tc>
        <w:tc>
          <w:tcPr>
            <w:tcW w:w="4140" w:type="dxa"/>
          </w:tcPr>
          <w:p w:rsidR="00E40112" w:rsidRPr="009B0828" w:rsidRDefault="00E40112" w:rsidP="00D7242B">
            <w:pPr>
              <w:pStyle w:val="lbexindentparagraph"/>
              <w:rPr>
                <w:rFonts w:ascii="Times" w:hAnsi="Times" w:cs="Times"/>
                <w:color w:val="333333"/>
                <w:sz w:val="22"/>
                <w:szCs w:val="22"/>
              </w:rPr>
            </w:pPr>
            <w:r w:rsidRPr="009B0828">
              <w:rPr>
                <w:rFonts w:ascii="Times" w:hAnsi="Times" w:cs="Times"/>
                <w:color w:val="333333"/>
                <w:sz w:val="22"/>
                <w:szCs w:val="22"/>
              </w:rPr>
              <w:t>Gender-based violence is a contributing factor to human trafficking. Experts in the field have reported that women and girls who have experienced gender-based violence and live in societies that tolerate severe gender discrimination appear to be more vulnerable to being trafficked. Comprehensive efforts to reduce human trafficking must include efforts to prevent and respond to gender-based violence due to the intertwined relationship of the two crimes.</w:t>
            </w:r>
          </w:p>
        </w:tc>
        <w:tc>
          <w:tcPr>
            <w:tcW w:w="4788" w:type="dxa"/>
          </w:tcPr>
          <w:p w:rsidR="00E40112" w:rsidRPr="009B0828" w:rsidRDefault="00BF37D7" w:rsidP="00D7242B">
            <w:pPr>
              <w:pStyle w:val="lbexindentparagraph"/>
              <w:rPr>
                <w:i/>
                <w:color w:val="333333"/>
                <w:sz w:val="22"/>
                <w:szCs w:val="22"/>
              </w:rPr>
            </w:pPr>
            <w:r>
              <w:rPr>
                <w:i/>
                <w:color w:val="333333"/>
                <w:sz w:val="22"/>
                <w:szCs w:val="22"/>
              </w:rPr>
              <w:t>One-sided</w:t>
            </w:r>
            <w:r w:rsidR="00DB6387">
              <w:rPr>
                <w:i/>
                <w:color w:val="333333"/>
                <w:sz w:val="22"/>
                <w:szCs w:val="22"/>
              </w:rPr>
              <w:t>, misleading,</w:t>
            </w:r>
            <w:r>
              <w:rPr>
                <w:i/>
                <w:color w:val="333333"/>
                <w:sz w:val="22"/>
                <w:szCs w:val="22"/>
              </w:rPr>
              <w:t xml:space="preserve"> </w:t>
            </w:r>
            <w:r w:rsidR="00E40112" w:rsidRPr="009B0828">
              <w:rPr>
                <w:i/>
                <w:color w:val="333333"/>
                <w:sz w:val="22"/>
                <w:szCs w:val="22"/>
              </w:rPr>
              <w:t>and unverifiable.</w:t>
            </w:r>
          </w:p>
          <w:p w:rsidR="00E40112" w:rsidRPr="009B0828" w:rsidRDefault="00E40112" w:rsidP="00D7242B">
            <w:pPr>
              <w:pStyle w:val="lbexindentparagraph"/>
              <w:rPr>
                <w:color w:val="333333"/>
                <w:sz w:val="22"/>
                <w:szCs w:val="22"/>
              </w:rPr>
            </w:pPr>
            <w:r w:rsidRPr="009B0828">
              <w:rPr>
                <w:color w:val="333333"/>
                <w:sz w:val="22"/>
                <w:szCs w:val="22"/>
              </w:rPr>
              <w:t>According to the U.S. State Department, “The most frequently cited global statistics on human trafficking indicate that men and boys represent nearly half of the total number of human trafficking victims; yet the identification and proper care of male victims remains an enormous challenge to governments and care providers around the world… When they do escape their trafficking situations, they are likely to be neglected by governments and service providers whose programs were established to shelter and assist women and girls.”</w:t>
            </w:r>
            <w:r w:rsidRPr="009B0828">
              <w:rPr>
                <w:rStyle w:val="EndnoteReference"/>
                <w:color w:val="333333"/>
                <w:sz w:val="22"/>
                <w:szCs w:val="22"/>
              </w:rPr>
              <w:endnoteReference w:id="21"/>
            </w:r>
          </w:p>
          <w:p w:rsidR="00E40112" w:rsidRPr="009B0828" w:rsidRDefault="005F3CC0" w:rsidP="00D7242B">
            <w:pPr>
              <w:pStyle w:val="lbexindentparagraph"/>
              <w:rPr>
                <w:color w:val="333333"/>
                <w:sz w:val="22"/>
                <w:szCs w:val="22"/>
              </w:rPr>
            </w:pPr>
            <w:r>
              <w:rPr>
                <w:color w:val="333333"/>
                <w:sz w:val="22"/>
                <w:szCs w:val="22"/>
              </w:rPr>
              <w:t>The f</w:t>
            </w:r>
            <w:r w:rsidR="00E40112" w:rsidRPr="009B0828">
              <w:rPr>
                <w:color w:val="333333"/>
                <w:sz w:val="22"/>
                <w:szCs w:val="22"/>
              </w:rPr>
              <w:t xml:space="preserve">inding uses vague terms such as “gender-based” and “severe gender discrimination.”  </w:t>
            </w:r>
            <w:r w:rsidR="00E40112" w:rsidRPr="009B0828">
              <w:rPr>
                <w:color w:val="333333"/>
                <w:sz w:val="22"/>
                <w:szCs w:val="22"/>
              </w:rPr>
              <w:lastRenderedPageBreak/>
              <w:t>Congressional findings should not be based on statements by unnamed “experts in the field.”</w:t>
            </w:r>
          </w:p>
          <w:p w:rsidR="004C7B76" w:rsidRPr="004C7B76" w:rsidRDefault="00E40112" w:rsidP="00164A69">
            <w:pPr>
              <w:pStyle w:val="lbexindentparagraph"/>
              <w:rPr>
                <w:rFonts w:ascii="Times" w:hAnsi="Times" w:cs="Times"/>
                <w:color w:val="333333"/>
                <w:sz w:val="22"/>
                <w:szCs w:val="22"/>
              </w:rPr>
            </w:pPr>
            <w:r w:rsidRPr="009B0828">
              <w:rPr>
                <w:color w:val="333333"/>
                <w:sz w:val="22"/>
                <w:szCs w:val="22"/>
              </w:rPr>
              <w:t xml:space="preserve">This </w:t>
            </w:r>
            <w:r w:rsidR="00164A69">
              <w:rPr>
                <w:color w:val="333333"/>
                <w:sz w:val="22"/>
                <w:szCs w:val="22"/>
              </w:rPr>
              <w:t>sentence</w:t>
            </w:r>
            <w:r w:rsidRPr="009B0828">
              <w:rPr>
                <w:color w:val="333333"/>
                <w:sz w:val="22"/>
                <w:szCs w:val="22"/>
              </w:rPr>
              <w:t xml:space="preserve"> consists of a desired policy; it is not a “finding:” “</w:t>
            </w:r>
            <w:r w:rsidRPr="009B0828">
              <w:rPr>
                <w:rFonts w:ascii="Times" w:hAnsi="Times" w:cs="Times"/>
                <w:color w:val="333333"/>
                <w:sz w:val="22"/>
                <w:szCs w:val="22"/>
              </w:rPr>
              <w:t>Comprehensive efforts to reduce human trafficking must include efforts to prevent and respond to gender-based violence due to the intertwined relationship of the two crimes.”</w:t>
            </w:r>
          </w:p>
        </w:tc>
      </w:tr>
    </w:tbl>
    <w:p w:rsidR="00E40112" w:rsidRDefault="00E40112" w:rsidP="00E40112"/>
    <w:p w:rsidR="00E40112" w:rsidRPr="00E40112" w:rsidRDefault="00E40112" w:rsidP="00E40112"/>
    <w:sectPr w:rsidR="00E40112" w:rsidRPr="00E40112" w:rsidSect="000D75D6">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5D6" w:rsidRDefault="000D75D6" w:rsidP="000D75D6">
      <w:pPr>
        <w:spacing w:after="0" w:line="240" w:lineRule="auto"/>
      </w:pPr>
      <w:r>
        <w:separator/>
      </w:r>
    </w:p>
  </w:endnote>
  <w:endnote w:type="continuationSeparator" w:id="0">
    <w:p w:rsidR="000D75D6" w:rsidRDefault="000D75D6" w:rsidP="000D75D6">
      <w:pPr>
        <w:spacing w:after="0" w:line="240" w:lineRule="auto"/>
      </w:pPr>
      <w:r>
        <w:continuationSeparator/>
      </w:r>
    </w:p>
  </w:endnote>
  <w:endnote w:id="1">
    <w:p w:rsidR="00E40112" w:rsidRPr="005F3CC0" w:rsidRDefault="00E40112" w:rsidP="00E40112">
      <w:pPr>
        <w:pStyle w:val="EndnoteText"/>
      </w:pPr>
      <w:r w:rsidRPr="005F3CC0">
        <w:rPr>
          <w:rStyle w:val="EndnoteReference"/>
        </w:rPr>
        <w:endnoteRef/>
      </w:r>
      <w:r w:rsidRPr="005F3CC0">
        <w:t xml:space="preserve"> </w:t>
      </w:r>
      <w:r w:rsidR="00F72FF8" w:rsidRPr="005F3CC0">
        <w:t xml:space="preserve">Esquivel-Santoveña EE, Lambert T, Hamel J. Partner Abuse Worldwide. Partner Abuse Vol. 4, No. 1, 2013. </w:t>
      </w:r>
      <w:hyperlink r:id="rId1" w:history="1">
        <w:r w:rsidR="00F72FF8" w:rsidRPr="005F3CC0">
          <w:rPr>
            <w:rStyle w:val="Hyperlink"/>
          </w:rPr>
          <w:t>http://www.ingentaconnect.com/content/springer/pa/2013/00000004/00000001/art00004</w:t>
        </w:r>
      </w:hyperlink>
      <w:r w:rsidR="00F72FF8" w:rsidRPr="005F3CC0">
        <w:t xml:space="preserve"> </w:t>
      </w:r>
    </w:p>
  </w:endnote>
  <w:endnote w:id="2">
    <w:p w:rsidR="00E40112" w:rsidRPr="005F3CC0" w:rsidRDefault="00E40112" w:rsidP="00E40112">
      <w:pPr>
        <w:pStyle w:val="EndnoteText"/>
      </w:pPr>
      <w:r w:rsidRPr="005F3CC0">
        <w:rPr>
          <w:rStyle w:val="EndnoteReference"/>
        </w:rPr>
        <w:endnoteRef/>
      </w:r>
      <w:r w:rsidRPr="005F3CC0">
        <w:t xml:space="preserve"> World Health Organization. World Report on Violence and Health. Geneva, Switzerland, 2002. </w:t>
      </w:r>
      <w:r w:rsidR="006F6988" w:rsidRPr="005F3CC0">
        <w:t xml:space="preserve">Table 4.1. </w:t>
      </w:r>
      <w:hyperlink r:id="rId2" w:history="1">
        <w:r w:rsidRPr="005F3CC0">
          <w:rPr>
            <w:rStyle w:val="Hyperlink"/>
          </w:rPr>
          <w:t>http://whqlibdoc.who.int/publications/2002/9241545615_eng.pdf</w:t>
        </w:r>
      </w:hyperlink>
      <w:r w:rsidRPr="005F3CC0">
        <w:t xml:space="preserve"> </w:t>
      </w:r>
    </w:p>
  </w:endnote>
  <w:endnote w:id="3">
    <w:p w:rsidR="00E40112" w:rsidRPr="005F3CC0" w:rsidRDefault="00E40112" w:rsidP="00E40112">
      <w:pPr>
        <w:pStyle w:val="EndnoteText"/>
      </w:pPr>
      <w:r w:rsidRPr="005F3CC0">
        <w:rPr>
          <w:rStyle w:val="EndnoteReference"/>
        </w:rPr>
        <w:endnoteRef/>
      </w:r>
      <w:r w:rsidRPr="005F3CC0">
        <w:t xml:space="preserve"> Toft S, Bonnell S. Marriage and domestic violence in rural Papua New Guinea (PNG). Boroko, PNG, Law Reform Commission of PNG, 1985. (Occasional Papers No. 18).</w:t>
      </w:r>
    </w:p>
  </w:endnote>
  <w:endnote w:id="4">
    <w:p w:rsidR="00E40112" w:rsidRPr="005F3CC0" w:rsidRDefault="00E40112" w:rsidP="00E40112">
      <w:pPr>
        <w:pStyle w:val="EndnoteText"/>
      </w:pPr>
      <w:r w:rsidRPr="005F3CC0">
        <w:rPr>
          <w:rStyle w:val="EndnoteReference"/>
        </w:rPr>
        <w:endnoteRef/>
      </w:r>
      <w:r w:rsidRPr="005F3CC0">
        <w:t xml:space="preserve"> World Health Organization. World Report on Violence and Health. Geneva, Switzerland, 2002. </w:t>
      </w:r>
      <w:hyperlink r:id="rId3" w:history="1">
        <w:r w:rsidRPr="005F3CC0">
          <w:rPr>
            <w:rStyle w:val="Hyperlink"/>
          </w:rPr>
          <w:t>http://whqlibdoc.who.int/publications/2002/9241545615_eng.pdf</w:t>
        </w:r>
      </w:hyperlink>
      <w:r w:rsidRPr="005F3CC0">
        <w:t xml:space="preserve">  Table A.6.</w:t>
      </w:r>
    </w:p>
  </w:endnote>
  <w:endnote w:id="5">
    <w:p w:rsidR="00B43A0C" w:rsidRPr="005F3CC0" w:rsidRDefault="00B43A0C" w:rsidP="00B43A0C">
      <w:pPr>
        <w:pStyle w:val="EndnoteText"/>
      </w:pPr>
      <w:r w:rsidRPr="005F3CC0">
        <w:rPr>
          <w:rStyle w:val="EndnoteReference"/>
        </w:rPr>
        <w:endnoteRef/>
      </w:r>
      <w:r w:rsidRPr="005F3CC0">
        <w:t xml:space="preserve"> Esquivel-Santoveña EE, Lambert T, Hamel J. Partner Abuse Worldwide. Partner Abuse Vol. 4, No. 1, 2013. </w:t>
      </w:r>
      <w:hyperlink r:id="rId4" w:history="1">
        <w:r w:rsidRPr="005F3CC0">
          <w:rPr>
            <w:rStyle w:val="Hyperlink"/>
          </w:rPr>
          <w:t>http://www.ingentaconnect.com/content/springer/pa/2013/00000004/00000001/art00004</w:t>
        </w:r>
      </w:hyperlink>
    </w:p>
  </w:endnote>
  <w:endnote w:id="6">
    <w:p w:rsidR="00E40112" w:rsidRPr="005F3CC0" w:rsidRDefault="00E40112" w:rsidP="00E40112">
      <w:pPr>
        <w:spacing w:after="0"/>
        <w:ind w:right="187"/>
        <w:rPr>
          <w:rFonts w:ascii="Times New Roman" w:hAnsi="Times New Roman" w:cs="Times New Roman"/>
          <w:sz w:val="20"/>
          <w:szCs w:val="20"/>
        </w:rPr>
      </w:pPr>
      <w:r w:rsidRPr="005F3CC0">
        <w:rPr>
          <w:rStyle w:val="EndnoteReference"/>
          <w:rFonts w:ascii="Times New Roman" w:hAnsi="Times New Roman" w:cs="Times New Roman"/>
          <w:sz w:val="20"/>
          <w:szCs w:val="20"/>
        </w:rPr>
        <w:endnoteRef/>
      </w:r>
      <w:r w:rsidRPr="005F3CC0">
        <w:rPr>
          <w:rFonts w:ascii="Times New Roman" w:hAnsi="Times New Roman" w:cs="Times New Roman"/>
          <w:sz w:val="20"/>
          <w:szCs w:val="20"/>
        </w:rPr>
        <w:t xml:space="preserve"> Appel A, Holden G. The co-occurrence of spouse and physical child abuse: A review and appraisal. Journal of Family Psychology,</w:t>
      </w:r>
      <w:r w:rsidRPr="005F3CC0">
        <w:rPr>
          <w:rFonts w:ascii="Times New Roman" w:hAnsi="Times New Roman" w:cs="Times New Roman"/>
          <w:i/>
          <w:sz w:val="20"/>
          <w:szCs w:val="20"/>
        </w:rPr>
        <w:t xml:space="preserve"> </w:t>
      </w:r>
      <w:r w:rsidRPr="005F3CC0">
        <w:rPr>
          <w:rFonts w:ascii="Times New Roman" w:hAnsi="Times New Roman" w:cs="Times New Roman"/>
          <w:sz w:val="20"/>
          <w:szCs w:val="20"/>
        </w:rPr>
        <w:t>Vol. 12, No. 4, 1998.</w:t>
      </w:r>
    </w:p>
  </w:endnote>
  <w:endnote w:id="7">
    <w:p w:rsidR="00E40112" w:rsidRPr="005F3CC0" w:rsidRDefault="00E40112" w:rsidP="00E40112">
      <w:pPr>
        <w:pStyle w:val="EndnoteText"/>
      </w:pPr>
      <w:r w:rsidRPr="005F3CC0">
        <w:rPr>
          <w:rStyle w:val="EndnoteReference"/>
        </w:rPr>
        <w:endnoteRef/>
      </w:r>
      <w:r w:rsidRPr="005F3CC0">
        <w:t xml:space="preserve"> Centre for Excellence for Child Welfare, Ontario Incidence Study of Child Abuse and Neglect, 2003. University of Toronto, 2005, p. 81. </w:t>
      </w:r>
      <w:hyperlink r:id="rId5" w:history="1">
        <w:r w:rsidRPr="005F3CC0">
          <w:rPr>
            <w:rStyle w:val="Hyperlink"/>
          </w:rPr>
          <w:t>http://www.cecw-cepb.ca/files/file/en/OIS2003.pdf</w:t>
        </w:r>
      </w:hyperlink>
    </w:p>
  </w:endnote>
  <w:endnote w:id="8">
    <w:p w:rsidR="004B24BD" w:rsidRPr="005F3CC0" w:rsidRDefault="004B24BD" w:rsidP="004B24BD">
      <w:pPr>
        <w:pStyle w:val="EndnoteText"/>
      </w:pPr>
      <w:r w:rsidRPr="005F3CC0">
        <w:rPr>
          <w:rStyle w:val="EndnoteReference"/>
        </w:rPr>
        <w:endnoteRef/>
      </w:r>
      <w:r w:rsidRPr="005F3CC0">
        <w:t xml:space="preserve"> Fulu, E, Kerr</w:t>
      </w:r>
      <w:r w:rsidR="005F3CC0" w:rsidRPr="005F3CC0">
        <w:t xml:space="preserve"> </w:t>
      </w:r>
      <w:r w:rsidRPr="005F3CC0">
        <w:t xml:space="preserve">Wilson A, Lang J. What works to prevent violence against women and girls? Review of interventions to prevent violence against women and girls. Annex F. 2014. </w:t>
      </w:r>
      <w:hyperlink r:id="rId6" w:history="1">
        <w:r w:rsidRPr="005F3CC0">
          <w:rPr>
            <w:rStyle w:val="Hyperlink"/>
          </w:rPr>
          <w:t>https://assets.publishing.service.gov.uk/government/uploads/system/uploads/attachment_data/file/337615/evidence-review-interventions-F.pdf</w:t>
        </w:r>
      </w:hyperlink>
    </w:p>
  </w:endnote>
  <w:endnote w:id="9">
    <w:p w:rsidR="00776D32" w:rsidRPr="005F3CC0" w:rsidRDefault="00776D32" w:rsidP="00776D32">
      <w:pPr>
        <w:pStyle w:val="EndnoteText"/>
      </w:pPr>
      <w:r w:rsidRPr="005F3CC0">
        <w:rPr>
          <w:rStyle w:val="EndnoteReference"/>
        </w:rPr>
        <w:endnoteRef/>
      </w:r>
      <w:r w:rsidRPr="005F3CC0">
        <w:t xml:space="preserve"> Fulu, E, Kerr</w:t>
      </w:r>
      <w:r w:rsidR="005F3CC0" w:rsidRPr="005F3CC0">
        <w:t xml:space="preserve"> </w:t>
      </w:r>
      <w:r w:rsidRPr="005F3CC0">
        <w:t xml:space="preserve">Wilson A, Lang J. What works to prevent violence against women and girls? Review of interventions to prevent violence against women and girls. Annex F. 2014. </w:t>
      </w:r>
      <w:hyperlink r:id="rId7" w:history="1">
        <w:r w:rsidRPr="005F3CC0">
          <w:rPr>
            <w:rStyle w:val="Hyperlink"/>
          </w:rPr>
          <w:t>https://assets.publishing.service.gov.uk/government/uploads/system/uploads/attachment_data/file/337615/evidence-review-interventions-F.pdf</w:t>
        </w:r>
      </w:hyperlink>
    </w:p>
  </w:endnote>
  <w:endnote w:id="10">
    <w:p w:rsidR="00E40112" w:rsidRPr="005F3CC0" w:rsidRDefault="00E40112" w:rsidP="00E40112">
      <w:pPr>
        <w:pStyle w:val="EndnoteText"/>
      </w:pPr>
      <w:r w:rsidRPr="005F3CC0">
        <w:rPr>
          <w:rStyle w:val="EndnoteReference"/>
        </w:rPr>
        <w:endnoteRef/>
      </w:r>
      <w:r w:rsidRPr="005F3CC0">
        <w:t xml:space="preserve"> Zierler S, Cunningham WE, Andersen R et al. Violence victimization after HIV infection in a US probability sample of adult patients in primary care. American Journal of Public Health Vol. 90, No. 2, February 2000.</w:t>
      </w:r>
    </w:p>
  </w:endnote>
  <w:endnote w:id="11">
    <w:p w:rsidR="00E40112" w:rsidRPr="005F3CC0" w:rsidRDefault="00E40112" w:rsidP="00E40112">
      <w:pPr>
        <w:pStyle w:val="EndnoteText"/>
      </w:pPr>
      <w:r w:rsidRPr="005F3CC0">
        <w:rPr>
          <w:rStyle w:val="EndnoteReference"/>
        </w:rPr>
        <w:endnoteRef/>
      </w:r>
      <w:r w:rsidRPr="005F3CC0">
        <w:t xml:space="preserve"> Straus MA.</w:t>
      </w:r>
      <w:r w:rsidRPr="005F3CC0">
        <w:rPr>
          <w:i/>
          <w:iCs/>
        </w:rPr>
        <w:t xml:space="preserve"> </w:t>
      </w:r>
      <w:r w:rsidRPr="005F3CC0">
        <w:t xml:space="preserve">Dominance and Symmetry in Partner Violence by Male and Female University Students in 32 Nations. Children and Youth Services Review. Vol. 30, 2008. Table 2. </w:t>
      </w:r>
    </w:p>
  </w:endnote>
  <w:endnote w:id="12">
    <w:p w:rsidR="00184FDA" w:rsidRPr="005F3CC0" w:rsidRDefault="00184FDA" w:rsidP="00184FDA">
      <w:pPr>
        <w:pStyle w:val="EndnoteText"/>
      </w:pPr>
      <w:r w:rsidRPr="005F3CC0">
        <w:rPr>
          <w:rStyle w:val="EndnoteReference"/>
        </w:rPr>
        <w:endnoteRef/>
      </w:r>
      <w:r w:rsidRPr="005F3CC0">
        <w:t xml:space="preserve"> Hughes</w:t>
      </w:r>
      <w:r w:rsidR="005F3CC0" w:rsidRPr="005F3CC0">
        <w:t xml:space="preserve"> K</w:t>
      </w:r>
      <w:r w:rsidRPr="005F3CC0">
        <w:t>, Bellis</w:t>
      </w:r>
      <w:r w:rsidR="005F3CC0" w:rsidRPr="005F3CC0">
        <w:t xml:space="preserve"> MA</w:t>
      </w:r>
      <w:r w:rsidRPr="005F3CC0">
        <w:t>, Jones</w:t>
      </w:r>
      <w:r w:rsidR="005F3CC0" w:rsidRPr="005F3CC0">
        <w:t xml:space="preserve"> L</w:t>
      </w:r>
      <w:r w:rsidRPr="005F3CC0">
        <w:t>, et al. Prevalence and risk of violence against adults with disabilities: a systematic review and meta-analysis of observational studies</w:t>
      </w:r>
      <w:r w:rsidR="006F6988" w:rsidRPr="005F3CC0">
        <w:t>.</w:t>
      </w:r>
    </w:p>
  </w:endnote>
  <w:endnote w:id="13">
    <w:p w:rsidR="00F72FF8" w:rsidRPr="005F3CC0" w:rsidRDefault="00F72FF8" w:rsidP="00F72FF8">
      <w:pPr>
        <w:pStyle w:val="EndnoteText"/>
      </w:pPr>
      <w:r w:rsidRPr="005F3CC0">
        <w:t xml:space="preserve">World Health Organization. 2012. </w:t>
      </w:r>
      <w:hyperlink r:id="rId8" w:history="1">
        <w:r w:rsidRPr="005F3CC0">
          <w:rPr>
            <w:rStyle w:val="Hyperlink"/>
          </w:rPr>
          <w:t>http://www.who.int/disabilities/publications/violence_children_lancet.pdf?ua=1</w:t>
        </w:r>
      </w:hyperlink>
      <w:r w:rsidRPr="005F3CC0">
        <w:t xml:space="preserve"> </w:t>
      </w:r>
    </w:p>
    <w:p w:rsidR="00F72FF8" w:rsidRPr="005F3CC0" w:rsidRDefault="00F72FF8" w:rsidP="00F72FF8">
      <w:pPr>
        <w:pStyle w:val="EndnoteText"/>
      </w:pPr>
      <w:r w:rsidRPr="005F3CC0">
        <w:rPr>
          <w:rStyle w:val="EndnoteReference"/>
        </w:rPr>
        <w:endnoteRef/>
      </w:r>
      <w:r w:rsidRPr="005F3CC0">
        <w:t xml:space="preserve"> Jones A. Gendercide and genocide. Journal of Genocide Research Vol. 2, No. 2, June 2000. Pp. 185-211.</w:t>
      </w:r>
    </w:p>
  </w:endnote>
  <w:endnote w:id="14">
    <w:p w:rsidR="00DB1E0E" w:rsidRDefault="00DB1E0E">
      <w:pPr>
        <w:pStyle w:val="EndnoteText"/>
      </w:pPr>
      <w:r>
        <w:rPr>
          <w:rStyle w:val="EndnoteReference"/>
        </w:rPr>
        <w:endnoteRef/>
      </w:r>
      <w:r>
        <w:t xml:space="preserve"> </w:t>
      </w:r>
      <w:r w:rsidRPr="005F3CC0">
        <w:t xml:space="preserve">United Nations Population Fund. Marrying Too Young. 2012. </w:t>
      </w:r>
      <w:hyperlink r:id="rId9" w:history="1">
        <w:r w:rsidRPr="005F3CC0">
          <w:rPr>
            <w:rStyle w:val="Hyperlink"/>
          </w:rPr>
          <w:t>https://www.unfpa.org/sites/default/files/pub-pdf/MarryingTooYoung.pdf</w:t>
        </w:r>
      </w:hyperlink>
    </w:p>
  </w:endnote>
  <w:endnote w:id="15">
    <w:p w:rsidR="00164A69" w:rsidRPr="005F3CC0" w:rsidRDefault="00164A69" w:rsidP="00164A69">
      <w:pPr>
        <w:pStyle w:val="EndnoteText"/>
      </w:pPr>
      <w:r w:rsidRPr="005F3CC0">
        <w:rPr>
          <w:rStyle w:val="EndnoteReference"/>
        </w:rPr>
        <w:endnoteRef/>
      </w:r>
      <w:r w:rsidRPr="005F3CC0">
        <w:t xml:space="preserve"> </w:t>
      </w:r>
      <w:hyperlink r:id="rId10" w:history="1">
        <w:r w:rsidRPr="005F3CC0">
          <w:rPr>
            <w:rStyle w:val="Hyperlink"/>
          </w:rPr>
          <w:t>https://news.un.org/en/story/2013/03/433732-2020-more-140-million-girls-will-have-become-child-brides-un</w:t>
        </w:r>
      </w:hyperlink>
    </w:p>
  </w:endnote>
  <w:endnote w:id="16">
    <w:p w:rsidR="00164A69" w:rsidRPr="005F3CC0" w:rsidRDefault="00164A69" w:rsidP="00164A69">
      <w:pPr>
        <w:pStyle w:val="EndnoteText"/>
      </w:pPr>
      <w:r w:rsidRPr="005F3CC0">
        <w:rPr>
          <w:rStyle w:val="EndnoteReference"/>
        </w:rPr>
        <w:endnoteRef/>
      </w:r>
      <w:r w:rsidRPr="005F3CC0">
        <w:t xml:space="preserve"> United Nations Population Fund. Marrying Too Young. 2012. Page 6. </w:t>
      </w:r>
    </w:p>
  </w:endnote>
  <w:endnote w:id="17">
    <w:p w:rsidR="00661BDA" w:rsidRPr="005F3CC0" w:rsidRDefault="00164A69">
      <w:pPr>
        <w:pStyle w:val="EndnoteText"/>
      </w:pPr>
      <w:r w:rsidRPr="005F3CC0">
        <w:t xml:space="preserve"> </w:t>
      </w:r>
      <w:r w:rsidR="00661BDA" w:rsidRPr="005F3CC0">
        <w:rPr>
          <w:rStyle w:val="EndnoteReference"/>
        </w:rPr>
        <w:endnoteRef/>
      </w:r>
      <w:r w:rsidR="00661BDA" w:rsidRPr="005F3CC0">
        <w:t xml:space="preserve"> Kidman R. Child marriage and intimate partner violence: a comparative study of 34 countries. International Journal of Epidemiology, Oct. 12, 2016. </w:t>
      </w:r>
    </w:p>
  </w:endnote>
  <w:endnote w:id="18">
    <w:p w:rsidR="00044B0C" w:rsidRPr="005F3CC0" w:rsidRDefault="00044B0C">
      <w:pPr>
        <w:pStyle w:val="EndnoteText"/>
      </w:pPr>
      <w:r w:rsidRPr="005F3CC0">
        <w:rPr>
          <w:rStyle w:val="EndnoteReference"/>
        </w:rPr>
        <w:endnoteRef/>
      </w:r>
      <w:r w:rsidRPr="005F3CC0">
        <w:t xml:space="preserve"> World Health Organization. Female Genital Mutilation. Jan. 31, 2018. </w:t>
      </w:r>
      <w:hyperlink r:id="rId11" w:history="1">
        <w:r w:rsidRPr="005F3CC0">
          <w:rPr>
            <w:rStyle w:val="Hyperlink"/>
          </w:rPr>
          <w:t>http://www.who.int/en/news-room/fact-sheets/detail/female-genital-mutilation</w:t>
        </w:r>
      </w:hyperlink>
      <w:r w:rsidRPr="005F3CC0">
        <w:t xml:space="preserve"> </w:t>
      </w:r>
    </w:p>
  </w:endnote>
  <w:endnote w:id="19">
    <w:p w:rsidR="009C2292" w:rsidRPr="005F3CC0" w:rsidRDefault="009C2292">
      <w:pPr>
        <w:pStyle w:val="EndnoteText"/>
      </w:pPr>
      <w:r w:rsidRPr="005F3CC0">
        <w:rPr>
          <w:rStyle w:val="EndnoteReference"/>
        </w:rPr>
        <w:endnoteRef/>
      </w:r>
      <w:r w:rsidRPr="005F3CC0">
        <w:t xml:space="preserve"> </w:t>
      </w:r>
      <w:hyperlink r:id="rId12" w:history="1">
        <w:r w:rsidRPr="005F3CC0">
          <w:rPr>
            <w:rStyle w:val="Hyperlink"/>
          </w:rPr>
          <w:t>https://openknowledge.worldbank.org/handle/10986/23425</w:t>
        </w:r>
      </w:hyperlink>
      <w:r w:rsidRPr="005F3CC0">
        <w:t xml:space="preserve"> </w:t>
      </w:r>
    </w:p>
  </w:endnote>
  <w:endnote w:id="20">
    <w:p w:rsidR="008D79B2" w:rsidRPr="005F3CC0" w:rsidRDefault="008D79B2" w:rsidP="008D79B2">
      <w:pPr>
        <w:pStyle w:val="EndnoteText"/>
      </w:pPr>
      <w:r w:rsidRPr="005F3CC0">
        <w:rPr>
          <w:rStyle w:val="EndnoteReference"/>
        </w:rPr>
        <w:endnoteRef/>
      </w:r>
      <w:r w:rsidRPr="005F3CC0">
        <w:t xml:space="preserve"> Esquivel-Santoveña EE, Lambert T, Hamel J. Partner Abuse Worldwide. </w:t>
      </w:r>
      <w:r w:rsidRPr="005F3CC0">
        <w:rPr>
          <w:iCs/>
        </w:rPr>
        <w:t>Partner Abuse</w:t>
      </w:r>
      <w:r w:rsidRPr="005F3CC0">
        <w:t xml:space="preserve"> Vol. 4, No. 1, 2013. </w:t>
      </w:r>
      <w:hyperlink r:id="rId13" w:history="1">
        <w:r w:rsidRPr="005F3CC0">
          <w:rPr>
            <w:rStyle w:val="Hyperlink"/>
          </w:rPr>
          <w:t>http://www.ingentaconnect.com/content/springer/pa/2013/00000004/00000001/art00004</w:t>
        </w:r>
      </w:hyperlink>
      <w:r w:rsidRPr="005F3CC0">
        <w:t xml:space="preserve"> </w:t>
      </w:r>
    </w:p>
  </w:endnote>
  <w:endnote w:id="21">
    <w:p w:rsidR="00E40112" w:rsidRDefault="00E40112" w:rsidP="00E40112">
      <w:pPr>
        <w:pStyle w:val="EndnoteText"/>
      </w:pPr>
      <w:r w:rsidRPr="005F3CC0">
        <w:rPr>
          <w:rStyle w:val="EndnoteReference"/>
        </w:rPr>
        <w:endnoteRef/>
      </w:r>
      <w:r w:rsidRPr="005F3CC0">
        <w:t xml:space="preserve"> Department of State. Assisting Male Survivors of Human Trafficking. June 27, 2017. </w:t>
      </w:r>
      <w:hyperlink r:id="rId14" w:history="1">
        <w:r w:rsidRPr="005F3CC0">
          <w:rPr>
            <w:rStyle w:val="Hyperlink"/>
          </w:rPr>
          <w:t>https://www.state.gov/j/tip/rls/fs/2017/272004.htm</w:t>
        </w:r>
      </w:hyperlink>
      <w:r w:rsidRPr="009B0828">
        <w:rPr>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73061"/>
      <w:docPartObj>
        <w:docPartGallery w:val="Page Numbers (Bottom of Page)"/>
        <w:docPartUnique/>
      </w:docPartObj>
    </w:sdtPr>
    <w:sdtEndPr>
      <w:rPr>
        <w:noProof/>
      </w:rPr>
    </w:sdtEndPr>
    <w:sdtContent>
      <w:p w:rsidR="00B066B9" w:rsidRDefault="00B066B9">
        <w:pPr>
          <w:pStyle w:val="Footer"/>
          <w:jc w:val="center"/>
        </w:pPr>
        <w:r>
          <w:fldChar w:fldCharType="begin"/>
        </w:r>
        <w:r>
          <w:instrText xml:space="preserve"> PAGE   \* MERGEFORMAT </w:instrText>
        </w:r>
        <w:r>
          <w:fldChar w:fldCharType="separate"/>
        </w:r>
        <w:r w:rsidR="0031570A">
          <w:rPr>
            <w:noProof/>
          </w:rPr>
          <w:t>7</w:t>
        </w:r>
        <w:r>
          <w:rPr>
            <w:noProof/>
          </w:rPr>
          <w:fldChar w:fldCharType="end"/>
        </w:r>
      </w:p>
    </w:sdtContent>
  </w:sdt>
  <w:p w:rsidR="00B066B9" w:rsidRDefault="00B06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5D6" w:rsidRDefault="000D75D6" w:rsidP="000D75D6">
      <w:pPr>
        <w:spacing w:after="0" w:line="240" w:lineRule="auto"/>
      </w:pPr>
      <w:r>
        <w:separator/>
      </w:r>
    </w:p>
  </w:footnote>
  <w:footnote w:type="continuationSeparator" w:id="0">
    <w:p w:rsidR="000D75D6" w:rsidRDefault="000D75D6" w:rsidP="000D7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569AD"/>
    <w:multiLevelType w:val="hybridMultilevel"/>
    <w:tmpl w:val="C8EA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FC11EC"/>
    <w:multiLevelType w:val="hybridMultilevel"/>
    <w:tmpl w:val="8236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6E20AA"/>
    <w:multiLevelType w:val="hybridMultilevel"/>
    <w:tmpl w:val="BD82D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F442372"/>
    <w:multiLevelType w:val="hybridMultilevel"/>
    <w:tmpl w:val="0E3ED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5EA"/>
    <w:rsid w:val="000059B1"/>
    <w:rsid w:val="00044B0C"/>
    <w:rsid w:val="000759B9"/>
    <w:rsid w:val="000B22B7"/>
    <w:rsid w:val="000D75D6"/>
    <w:rsid w:val="00124B01"/>
    <w:rsid w:val="00164A69"/>
    <w:rsid w:val="00184FDA"/>
    <w:rsid w:val="00192A75"/>
    <w:rsid w:val="002668E1"/>
    <w:rsid w:val="0027608D"/>
    <w:rsid w:val="0031570A"/>
    <w:rsid w:val="003328A5"/>
    <w:rsid w:val="00337D75"/>
    <w:rsid w:val="003455EA"/>
    <w:rsid w:val="003936E0"/>
    <w:rsid w:val="0042365E"/>
    <w:rsid w:val="00477E53"/>
    <w:rsid w:val="004B24BD"/>
    <w:rsid w:val="004C7B76"/>
    <w:rsid w:val="004D1754"/>
    <w:rsid w:val="004D300F"/>
    <w:rsid w:val="004E35B6"/>
    <w:rsid w:val="0052493D"/>
    <w:rsid w:val="005317BF"/>
    <w:rsid w:val="005343CB"/>
    <w:rsid w:val="005B3A83"/>
    <w:rsid w:val="005F3CC0"/>
    <w:rsid w:val="006446DE"/>
    <w:rsid w:val="006502EC"/>
    <w:rsid w:val="00661BDA"/>
    <w:rsid w:val="00662E17"/>
    <w:rsid w:val="00672C9F"/>
    <w:rsid w:val="00690C04"/>
    <w:rsid w:val="006E7BB3"/>
    <w:rsid w:val="006F3549"/>
    <w:rsid w:val="006F6988"/>
    <w:rsid w:val="00776D32"/>
    <w:rsid w:val="00794C78"/>
    <w:rsid w:val="007A733E"/>
    <w:rsid w:val="007C437D"/>
    <w:rsid w:val="007D722E"/>
    <w:rsid w:val="007E7F8F"/>
    <w:rsid w:val="0082764F"/>
    <w:rsid w:val="00887B21"/>
    <w:rsid w:val="008C0329"/>
    <w:rsid w:val="008C716D"/>
    <w:rsid w:val="008D79B2"/>
    <w:rsid w:val="009B0828"/>
    <w:rsid w:val="009C2292"/>
    <w:rsid w:val="00A003DD"/>
    <w:rsid w:val="00A87BF1"/>
    <w:rsid w:val="00AC7BB8"/>
    <w:rsid w:val="00B066B9"/>
    <w:rsid w:val="00B1707E"/>
    <w:rsid w:val="00B32794"/>
    <w:rsid w:val="00B43A0C"/>
    <w:rsid w:val="00B94905"/>
    <w:rsid w:val="00BD2C83"/>
    <w:rsid w:val="00BF37D7"/>
    <w:rsid w:val="00C03717"/>
    <w:rsid w:val="00C273EC"/>
    <w:rsid w:val="00C52688"/>
    <w:rsid w:val="00C77442"/>
    <w:rsid w:val="00D34E30"/>
    <w:rsid w:val="00D516F1"/>
    <w:rsid w:val="00D56D67"/>
    <w:rsid w:val="00DB1E0E"/>
    <w:rsid w:val="00DB6387"/>
    <w:rsid w:val="00E3542D"/>
    <w:rsid w:val="00E40112"/>
    <w:rsid w:val="00EC4A10"/>
    <w:rsid w:val="00EF2F7A"/>
    <w:rsid w:val="00F35C61"/>
    <w:rsid w:val="00F71D1F"/>
    <w:rsid w:val="00F72FF8"/>
    <w:rsid w:val="00F83BDB"/>
    <w:rsid w:val="00FB3611"/>
    <w:rsid w:val="00FE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56D6"/>
  <w15:chartTrackingRefBased/>
  <w15:docId w15:val="{7F7BB8D8-DB9B-41A5-8D55-B658A5B9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bexindentparagraph">
    <w:name w:val="lbexindentparagraph"/>
    <w:basedOn w:val="Normal"/>
    <w:rsid w:val="003455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exindentsubpar">
    <w:name w:val="lbexindentsubpar"/>
    <w:basedOn w:val="Normal"/>
    <w:rsid w:val="003455E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31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ationURL">
    <w:name w:val="Compilation URL"/>
    <w:basedOn w:val="Normal"/>
    <w:rsid w:val="000D75D6"/>
    <w:pPr>
      <w:spacing w:after="0" w:line="240" w:lineRule="auto"/>
    </w:pPr>
    <w:rPr>
      <w:rFonts w:ascii="Times New Roman" w:eastAsia="Times New Roman" w:hAnsi="Times New Roman" w:cs="Times New Roman"/>
      <w:bCs/>
      <w:sz w:val="18"/>
      <w:szCs w:val="18"/>
    </w:rPr>
  </w:style>
  <w:style w:type="paragraph" w:styleId="EndnoteText">
    <w:name w:val="endnote text"/>
    <w:basedOn w:val="Normal"/>
    <w:link w:val="EndnoteTextChar"/>
    <w:semiHidden/>
    <w:rsid w:val="000D75D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0D75D6"/>
    <w:rPr>
      <w:rFonts w:ascii="Times New Roman" w:eastAsia="Times New Roman" w:hAnsi="Times New Roman" w:cs="Times New Roman"/>
      <w:sz w:val="20"/>
      <w:szCs w:val="20"/>
    </w:rPr>
  </w:style>
  <w:style w:type="character" w:styleId="EndnoteReference">
    <w:name w:val="endnote reference"/>
    <w:semiHidden/>
    <w:rsid w:val="000D75D6"/>
    <w:rPr>
      <w:vertAlign w:val="superscript"/>
    </w:rPr>
  </w:style>
  <w:style w:type="character" w:styleId="Hyperlink">
    <w:name w:val="Hyperlink"/>
    <w:rsid w:val="000D75D6"/>
    <w:rPr>
      <w:color w:val="0000FF"/>
      <w:u w:val="single"/>
    </w:rPr>
  </w:style>
  <w:style w:type="paragraph" w:styleId="ListParagraph">
    <w:name w:val="List Paragraph"/>
    <w:basedOn w:val="Normal"/>
    <w:uiPriority w:val="34"/>
    <w:qFormat/>
    <w:rsid w:val="00F72FF8"/>
    <w:pPr>
      <w:ind w:left="720"/>
      <w:contextualSpacing/>
    </w:pPr>
  </w:style>
  <w:style w:type="paragraph" w:styleId="BalloonText">
    <w:name w:val="Balloon Text"/>
    <w:basedOn w:val="Normal"/>
    <w:link w:val="BalloonTextChar"/>
    <w:uiPriority w:val="99"/>
    <w:semiHidden/>
    <w:unhideWhenUsed/>
    <w:rsid w:val="006E7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BB3"/>
    <w:rPr>
      <w:rFonts w:ascii="Segoe UI" w:hAnsi="Segoe UI" w:cs="Segoe UI"/>
      <w:sz w:val="18"/>
      <w:szCs w:val="18"/>
    </w:rPr>
  </w:style>
  <w:style w:type="paragraph" w:styleId="Header">
    <w:name w:val="header"/>
    <w:basedOn w:val="Normal"/>
    <w:link w:val="HeaderChar"/>
    <w:uiPriority w:val="99"/>
    <w:unhideWhenUsed/>
    <w:rsid w:val="00B06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6B9"/>
  </w:style>
  <w:style w:type="paragraph" w:styleId="Footer">
    <w:name w:val="footer"/>
    <w:basedOn w:val="Normal"/>
    <w:link w:val="FooterChar"/>
    <w:uiPriority w:val="99"/>
    <w:unhideWhenUsed/>
    <w:rsid w:val="00B06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6B9"/>
  </w:style>
  <w:style w:type="character" w:styleId="FollowedHyperlink">
    <w:name w:val="FollowedHyperlink"/>
    <w:basedOn w:val="DefaultParagraphFont"/>
    <w:uiPriority w:val="99"/>
    <w:semiHidden/>
    <w:unhideWhenUsed/>
    <w:rsid w:val="0052493D"/>
    <w:rPr>
      <w:color w:val="800080" w:themeColor="followedHyperlink"/>
      <w:u w:val="single"/>
    </w:rPr>
  </w:style>
  <w:style w:type="paragraph" w:styleId="NormalWeb">
    <w:name w:val="Normal (Web)"/>
    <w:basedOn w:val="Normal"/>
    <w:rsid w:val="0052493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4607">
      <w:bodyDiv w:val="1"/>
      <w:marLeft w:val="0"/>
      <w:marRight w:val="0"/>
      <w:marTop w:val="0"/>
      <w:marBottom w:val="0"/>
      <w:divBdr>
        <w:top w:val="none" w:sz="0" w:space="0" w:color="auto"/>
        <w:left w:val="none" w:sz="0" w:space="0" w:color="auto"/>
        <w:bottom w:val="none" w:sz="0" w:space="0" w:color="auto"/>
        <w:right w:val="none" w:sz="0" w:space="0" w:color="auto"/>
      </w:divBdr>
      <w:divsChild>
        <w:div w:id="1158888372">
          <w:marLeft w:val="0"/>
          <w:marRight w:val="0"/>
          <w:marTop w:val="166"/>
          <w:marBottom w:val="166"/>
          <w:divBdr>
            <w:top w:val="none" w:sz="0" w:space="0" w:color="auto"/>
            <w:left w:val="none" w:sz="0" w:space="0" w:color="auto"/>
            <w:bottom w:val="none" w:sz="0" w:space="0" w:color="auto"/>
            <w:right w:val="none" w:sz="0" w:space="0" w:color="auto"/>
          </w:divBdr>
          <w:divsChild>
            <w:div w:id="8875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3449">
      <w:bodyDiv w:val="1"/>
      <w:marLeft w:val="0"/>
      <w:marRight w:val="0"/>
      <w:marTop w:val="0"/>
      <w:marBottom w:val="0"/>
      <w:divBdr>
        <w:top w:val="none" w:sz="0" w:space="0" w:color="auto"/>
        <w:left w:val="none" w:sz="0" w:space="0" w:color="auto"/>
        <w:bottom w:val="none" w:sz="0" w:space="0" w:color="auto"/>
        <w:right w:val="none" w:sz="0" w:space="0" w:color="auto"/>
      </w:divBdr>
    </w:div>
    <w:div w:id="935597188">
      <w:bodyDiv w:val="1"/>
      <w:marLeft w:val="0"/>
      <w:marRight w:val="0"/>
      <w:marTop w:val="0"/>
      <w:marBottom w:val="0"/>
      <w:divBdr>
        <w:top w:val="none" w:sz="0" w:space="0" w:color="auto"/>
        <w:left w:val="none" w:sz="0" w:space="0" w:color="auto"/>
        <w:bottom w:val="none" w:sz="0" w:space="0" w:color="auto"/>
        <w:right w:val="none" w:sz="0" w:space="0" w:color="auto"/>
      </w:divBdr>
    </w:div>
    <w:div w:id="1509371998">
      <w:bodyDiv w:val="1"/>
      <w:marLeft w:val="0"/>
      <w:marRight w:val="0"/>
      <w:marTop w:val="0"/>
      <w:marBottom w:val="0"/>
      <w:divBdr>
        <w:top w:val="none" w:sz="0" w:space="0" w:color="auto"/>
        <w:left w:val="none" w:sz="0" w:space="0" w:color="auto"/>
        <w:bottom w:val="none" w:sz="0" w:space="0" w:color="auto"/>
        <w:right w:val="none" w:sz="0" w:space="0" w:color="auto"/>
      </w:divBdr>
    </w:div>
    <w:div w:id="20744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who.int/disabilities/publications/violence_children_lancet.pdf?ua=1" TargetMode="External"/><Relationship Id="rId13" Type="http://schemas.openxmlformats.org/officeDocument/2006/relationships/hyperlink" Target="http://www.ingentaconnect.com/content/springer/pa/2013/00000004/00000001/art00004" TargetMode="External"/><Relationship Id="rId3" Type="http://schemas.openxmlformats.org/officeDocument/2006/relationships/hyperlink" Target="http://whqlibdoc.who.int/publications/2002/9241545615_eng.pdf" TargetMode="External"/><Relationship Id="rId7" Type="http://schemas.openxmlformats.org/officeDocument/2006/relationships/hyperlink" Target="https://assets.publishing.service.gov.uk/government/uploads/system/uploads/attachment_data/file/337615/evidence-review-interventions-F.pdf" TargetMode="External"/><Relationship Id="rId12" Type="http://schemas.openxmlformats.org/officeDocument/2006/relationships/hyperlink" Target="https://openknowledge.worldbank.org/handle/10986/23425" TargetMode="External"/><Relationship Id="rId2" Type="http://schemas.openxmlformats.org/officeDocument/2006/relationships/hyperlink" Target="http://whqlibdoc.who.int/publications/2002/9241545615_eng.pdf" TargetMode="External"/><Relationship Id="rId1" Type="http://schemas.openxmlformats.org/officeDocument/2006/relationships/hyperlink" Target="http://www.ingentaconnect.com/content/springer/pa/2013/00000004/00000001/art00004" TargetMode="External"/><Relationship Id="rId6" Type="http://schemas.openxmlformats.org/officeDocument/2006/relationships/hyperlink" Target="https://assets.publishing.service.gov.uk/government/uploads/system/uploads/attachment_data/file/337615/evidence-review-interventions-F.pdf" TargetMode="External"/><Relationship Id="rId11" Type="http://schemas.openxmlformats.org/officeDocument/2006/relationships/hyperlink" Target="http://www.who.int/en/news-room/fact-sheets/detail/female-genital-mutilation" TargetMode="External"/><Relationship Id="rId5" Type="http://schemas.openxmlformats.org/officeDocument/2006/relationships/hyperlink" Target="http://www.cecw-cepb.ca/files/file/en/OIS2003.pdf" TargetMode="External"/><Relationship Id="rId10" Type="http://schemas.openxmlformats.org/officeDocument/2006/relationships/hyperlink" Target="https://news.un.org/en/story/2013/03/433732-2020-more-140-million-girls-will-have-become-child-brides-un" TargetMode="External"/><Relationship Id="rId4" Type="http://schemas.openxmlformats.org/officeDocument/2006/relationships/hyperlink" Target="http://www.ingentaconnect.com/content/springer/pa/2013/00000004/00000001/art00004" TargetMode="External"/><Relationship Id="rId9" Type="http://schemas.openxmlformats.org/officeDocument/2006/relationships/hyperlink" Target="https://www.unfpa.org/sites/default/files/pub-pdf/MarryingTooYoung.pdf" TargetMode="External"/><Relationship Id="rId14" Type="http://schemas.openxmlformats.org/officeDocument/2006/relationships/hyperlink" Target="https://www.state.gov/j/tip/rls/fs/2017/2720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008C0-A440-42A3-A289-268CC28A5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2109</Words>
  <Characters>12026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Edward E (HHS/OASH)</dc:creator>
  <cp:keywords/>
  <dc:description/>
  <cp:lastModifiedBy>Bartlett, Edward E (HHS/OASH)</cp:lastModifiedBy>
  <cp:revision>3</cp:revision>
  <cp:lastPrinted>2018-05-02T15:02:00Z</cp:lastPrinted>
  <dcterms:created xsi:type="dcterms:W3CDTF">2018-05-03T20:40:00Z</dcterms:created>
  <dcterms:modified xsi:type="dcterms:W3CDTF">2018-05-03T20:41:00Z</dcterms:modified>
</cp:coreProperties>
</file>